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2.1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11</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12</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13</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15</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18</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19</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20</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22</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25</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28</w:t>
        </w:r>
      </w:hyperlink>
    </w:p>
    <w:p>
      <w:pPr>
        <w:tabs>
          <w:tab w:val="right" w:pos="9638" w:leader="dot"/>
        </w:tabs>
        <w:spacing w:after="130"/>
      </w:pPr>
      <w:hyperlink w:history="1" w:anchor="cap18">
        <w:r>
          <w:rPr>
            <w:rFonts w:ascii="Arial" w:cs="Arial" w:eastAsia="Arial" w:hAnsi="Arial"/>
            <w:color w:val="1B2118"/>
            <w:sz w:val="22"/>
            <w:szCs w:val="22"/>
          </w:rPr>
          <w:t xml:space="preserve">18.  Crediti emessi</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Reclami e richieste di chiarimento</w:t>
        </w:r>
        <w:r>
          <w:rPr>
            <w:rFonts w:ascii="Arial" w:cs="Arial" w:eastAsia="Arial" w:hAnsi="Arial"/>
            <w:color w:val="1B2118"/>
            <w:sz w:val="22"/>
            <w:szCs w:val="22"/>
          </w:rPr>
          <w:tab/>
          <w:t xml:space="preserve">36</w:t>
        </w:r>
      </w:hyperlink>
    </w:p>
    <w:p>
      <w:pPr>
        <w:tabs>
          <w:tab w:val="right" w:pos="9638" w:leader="dot"/>
        </w:tabs>
        <w:spacing w:after="130"/>
      </w:pPr>
      <w:hyperlink w:history="1" w:anchor="cap20">
        <w:r>
          <w:rPr>
            <w:rFonts w:ascii="Arial" w:cs="Arial" w:eastAsia="Arial" w:hAnsi="Arial"/>
            <w:color w:val="1B2118"/>
            <w:sz w:val="22"/>
            <w:szCs w:val="22"/>
          </w:rPr>
          <w:t xml:space="preserve">20.  Pagina pubblica del Programma</w:t>
        </w:r>
        <w:r>
          <w:rPr>
            <w:rFonts w:ascii="Arial" w:cs="Arial" w:eastAsia="Arial" w:hAnsi="Arial"/>
            <w:color w:val="1B2118"/>
            <w:sz w:val="22"/>
            <w:szCs w:val="22"/>
          </w:rPr>
          <w:tab/>
          <w:t xml:space="preserve">37</w:t>
        </w:r>
      </w:hyperlink>
    </w:p>
    <w:p>
      <w:pPr>
        <w:tabs>
          <w:tab w:val="right" w:pos="9638" w:leader="dot"/>
        </w:tabs>
        <w:spacing w:after="130"/>
      </w:pPr>
      <w:hyperlink w:history="1" w:anchor="cap21">
        <w:r>
          <w:rPr>
            <w:rFonts w:ascii="Arial" w:cs="Arial" w:eastAsia="Arial" w:hAnsi="Arial"/>
            <w:color w:val="1B2118"/>
            <w:sz w:val="22"/>
            <w:szCs w:val="22"/>
          </w:rPr>
          <w:t xml:space="preserve">21.  Documentazione e manuali</w:t>
        </w:r>
        <w:r>
          <w:rPr>
            <w:rFonts w:ascii="Arial" w:cs="Arial" w:eastAsia="Arial" w:hAnsi="Arial"/>
            <w:color w:val="1B2118"/>
            <w:sz w:val="22"/>
            <w:szCs w:val="22"/>
          </w:rPr>
          <w:tab/>
          <w:t xml:space="preserve">38</w:t>
        </w:r>
      </w:hyperlink>
    </w:p>
    <w:p>
      <w:pPr>
        <w:tabs>
          <w:tab w:val="right" w:pos="9638" w:leader="dot"/>
        </w:tabs>
        <w:spacing w:after="130"/>
      </w:pPr>
      <w:hyperlink w:history="1" w:anchor="cap22">
        <w:r>
          <w:rPr>
            <w:rFonts w:ascii="Arial" w:cs="Arial" w:eastAsia="Arial" w:hAnsi="Arial"/>
            <w:color w:val="1B2118"/>
            <w:sz w:val="22"/>
            <w:szCs w:val="22"/>
          </w:rPr>
          <w:t xml:space="preserve">22.  Manutenzione ed emergenze</w:t>
        </w:r>
        <w:r>
          <w:rPr>
            <w:rFonts w:ascii="Arial" w:cs="Arial" w:eastAsia="Arial" w:hAnsi="Arial"/>
            <w:color w:val="1B2118"/>
            <w:sz w:val="22"/>
            <w:szCs w:val="22"/>
          </w:rPr>
          <w:tab/>
          <w:t xml:space="preserve">39</w:t>
        </w:r>
      </w:hyperlink>
    </w:p>
    <w:p>
      <w:pPr>
        <w:tabs>
          <w:tab w:val="right" w:pos="9638" w:leader="dot"/>
        </w:tabs>
        <w:spacing w:after="130"/>
      </w:pPr>
      <w:hyperlink w:history="1" w:anchor="cap23">
        <w:r>
          <w:rPr>
            <w:rFonts w:ascii="Arial" w:cs="Arial" w:eastAsia="Arial" w:hAnsi="Arial"/>
            <w:color w:val="1B2118"/>
            <w:sz w:val="22"/>
            <w:szCs w:val="22"/>
          </w:rPr>
          <w:t xml:space="preserve">23.  Funzioni in arrivo</w:t>
        </w:r>
        <w:r>
          <w:rPr>
            <w:rFonts w:ascii="Arial" w:cs="Arial" w:eastAsia="Arial" w:hAnsi="Arial"/>
            <w:color w:val="1B2118"/>
            <w:sz w:val="22"/>
            <w:szCs w:val="22"/>
          </w:rPr>
          <w:tab/>
          <w:t xml:space="preserve">40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b8pkginzman125v53cjhg">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0"/>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0"/>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0"/>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1"/>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3"/>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3"/>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5"/>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(sezione Crediti): per ogni Comune più scenari, con durata scelta da un menu a tendina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Si inseriscono i dati dell'anno base (popolazione, produzione totale e pro capite, raccolta differenziata, ripartizione per frazione e i parametri del calcolo) e, per ogni anno, gli obiettivi di produzione totale e pro capite e di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Il simulatore ricalcola la </w:t>
      </w:r>
      <w:r>
        <w:rPr>
          <w:rFonts w:ascii="Arial" w:cs="Arial" w:eastAsia="Arial" w:hAnsi="Arial"/>
          <w:b/>
          <w:bCs/>
          <w:color w:val="1B2118"/>
          <w:sz w:val="21"/>
          <w:szCs w:val="21"/>
        </w:rPr>
        <w:t xml:space="preserve">percentuale di differenziata</w:t>
      </w:r>
      <w:r>
        <w:rPr>
          <w:rFonts w:ascii="Arial" w:cs="Arial" w:eastAsia="Arial" w:hAnsi="Arial"/>
          <w:color w:val="1B2118"/>
          <w:sz w:val="21"/>
          <w:szCs w:val="21"/>
        </w:rPr>
        <w:t xml:space="preserve"> e stima </w:t>
      </w:r>
      <w:r>
        <w:rPr>
          <w:rFonts w:ascii="Arial" w:cs="Arial" w:eastAsia="Arial" w:hAnsi="Arial"/>
          <w:b/>
          <w:bCs/>
          <w:color w:val="1B2118"/>
          <w:sz w:val="21"/>
          <w:szCs w:val="21"/>
        </w:rPr>
        <w:t xml:space="preserve">anno per anno i crediti</w:t>
      </w:r>
      <w:r>
        <w:rPr>
          <w:rFonts w:ascii="Arial" w:cs="Arial" w:eastAsia="Arial" w:hAnsi="Arial"/>
          <w:color w:val="1B2118"/>
          <w:sz w:val="21"/>
          <w:szCs w:val="21"/>
        </w:rPr>
        <w:t xml:space="preserve"> che il Comune potrebbe generare, con tabella, grafico e confronto tra scenari. È una stima ex ante, non un calcolo certificabile: il modello va confermato dalla Fondazione.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2.1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2.1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b8pkginzman125v53cjhg"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2.1)</dc:title>
  <dc:creator>Fondazione Operate</dc:creator>
  <cp:lastModifiedBy>Un-named</cp:lastModifiedBy>
  <cp:revision>1</cp:revision>
  <dcterms:created xsi:type="dcterms:W3CDTF">2026-10-19T07:29:24.087Z</dcterms:created>
  <dcterms:modified xsi:type="dcterms:W3CDTF">2026-10-19T07:29:24.087Z</dcterms:modified>
</cp:coreProperties>
</file>

<file path=docProps/custom.xml><?xml version="1.0" encoding="utf-8"?>
<Properties xmlns="http://schemas.openxmlformats.org/officeDocument/2006/custom-properties" xmlns:vt="http://schemas.openxmlformats.org/officeDocument/2006/docPropsVTypes"/>
</file>