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  <Override ContentType="application/vnd.openxmlformats-officedocument.wordprocessingml.header+xml" PartName="/word/header2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900"/>
        <w:jc w:val="center"/>
      </w:pPr>
      <w:r>
        <w:drawing>
          <wp:inline distT="0" distB="0" distL="0" distR="0">
            <wp:extent cx="2857500" cy="17716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771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500"/>
        <w:jc w:val="center"/>
      </w:pPr>
      <w:r>
        <w:rPr>
          <w:rFonts w:ascii="Arial" w:cs="Arial" w:eastAsia="Arial" w:hAnsi="Arial"/>
          <w:b/>
          <w:bCs/>
          <w:color w:val="2F5D3A"/>
          <w:spacing w:val="40"/>
          <w:sz w:val="56"/>
          <w:szCs w:val="56"/>
        </w:rPr>
        <w:t xml:space="preserve">MANUALE UTENTE</w:t>
      </w:r>
    </w:p>
    <w:p>
      <w:pPr>
        <w:spacing w:after="80"/>
        <w:jc w:val="center"/>
      </w:pPr>
      <w:r>
        <w:rPr>
          <w:rFonts w:ascii="Arial" w:cs="Arial" w:eastAsia="Arial" w:hAnsi="Arial"/>
          <w:color w:val="1B2118"/>
          <w:sz w:val="32"/>
          <w:szCs w:val="32"/>
        </w:rPr>
        <w:t xml:space="preserve">Portale Carbon WastePrint®</w:t>
      </w:r>
    </w:p>
    <w:p>
      <w:pPr>
        <w:pBdr>
          <w:bottom w:val="single" w:color="2F5D3A" w:sz="12" w:space="12"/>
        </w:pBdr>
        <w:spacing w:after="600"/>
        <w:jc w:val="center"/>
      </w:pPr>
      <w:r>
        <w:rPr>
          <w:rFonts w:ascii="Arial" w:cs="Arial" w:eastAsia="Arial" w:hAnsi="Arial"/>
          <w:i/>
          <w:iCs/>
          <w:color w:val="5A5E54"/>
          <w:sz w:val="24"/>
          <w:szCs w:val="24"/>
        </w:rPr>
        <w:t xml:space="preserve">Guida passo per passo per Comuni, enti e soggetti gestori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600"/>
        <w:gridCol w:w="7038"/>
      </w:tblGrid>
      <w:tr>
        <w:tc>
          <w:tcPr>
            <w:tcW w:type="dxa" w:w="26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E4EDE1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F5D3A"/>
                <w:sz w:val="20"/>
                <w:szCs w:val="20"/>
              </w:rPr>
              <w:t xml:space="preserve">Documento</w:t>
            </w:r>
          </w:p>
        </w:tc>
        <w:tc>
          <w:tcPr>
            <w:tcW w:type="dxa" w:w="70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B2118"/>
                <w:sz w:val="20"/>
                <w:szCs w:val="20"/>
              </w:rPr>
              <w:t xml:space="preserve">Manuale Utente — Portale Carbon WastePrint</w:t>
            </w:r>
          </w:p>
        </w:tc>
      </w:tr>
      <w:tr>
        <w:tc>
          <w:tcPr>
            <w:tcW w:type="dxa" w:w="26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E4EDE1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F5D3A"/>
                <w:sz w:val="20"/>
                <w:szCs w:val="20"/>
              </w:rPr>
              <w:t xml:space="preserve">Destinatari</w:t>
            </w:r>
          </w:p>
        </w:tc>
        <w:tc>
          <w:tcPr>
            <w:tcW w:type="dxa" w:w="70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B2118"/>
                <w:sz w:val="20"/>
                <w:szCs w:val="20"/>
              </w:rPr>
              <w:t xml:space="preserve">Comuni, enti locali e soggetti gestori aderenti al Programma</w:t>
            </w:r>
          </w:p>
        </w:tc>
      </w:tr>
      <w:tr>
        <w:tc>
          <w:tcPr>
            <w:tcW w:type="dxa" w:w="26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E4EDE1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F5D3A"/>
                <w:sz w:val="20"/>
                <w:szCs w:val="20"/>
              </w:rPr>
              <w:t xml:space="preserve">Revisione</w:t>
            </w:r>
          </w:p>
        </w:tc>
        <w:tc>
          <w:tcPr>
            <w:tcW w:type="dxa" w:w="70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B2118"/>
                <w:sz w:val="20"/>
                <w:szCs w:val="20"/>
              </w:rPr>
              <w:t xml:space="preserve">Rev. 2.7</w:t>
            </w:r>
          </w:p>
        </w:tc>
      </w:tr>
      <w:tr>
        <w:tc>
          <w:tcPr>
            <w:tcW w:type="dxa" w:w="26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E4EDE1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F5D3A"/>
                <w:sz w:val="20"/>
                <w:szCs w:val="20"/>
              </w:rPr>
              <w:t xml:space="preserve">Data di revisione</w:t>
            </w:r>
          </w:p>
        </w:tc>
        <w:tc>
          <w:tcPr>
            <w:tcW w:type="dxa" w:w="70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B2118"/>
                <w:sz w:val="20"/>
                <w:szCs w:val="20"/>
              </w:rPr>
              <w:t xml:space="preserve">19/10/2026</w:t>
            </w:r>
          </w:p>
        </w:tc>
      </w:tr>
      <w:tr>
        <w:tc>
          <w:tcPr>
            <w:tcW w:type="dxa" w:w="26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E4EDE1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F5D3A"/>
                <w:sz w:val="20"/>
                <w:szCs w:val="20"/>
              </w:rPr>
              <w:t xml:space="preserve">Redatto da</w:t>
            </w:r>
          </w:p>
        </w:tc>
        <w:tc>
          <w:tcPr>
            <w:tcW w:type="dxa" w:w="70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B2118"/>
                <w:sz w:val="20"/>
                <w:szCs w:val="20"/>
              </w:rPr>
              <w:t xml:space="preserve">Fondazione Operate</w:t>
            </w:r>
          </w:p>
        </w:tc>
      </w:tr>
    </w:tbl>
    <w:p>
      <w:pPr>
        <w:spacing w:after="80" w:before="2600"/>
        <w:jc w:val="center"/>
      </w:pPr>
      <w:r>
        <w:rPr>
          <w:rFonts w:ascii="Arial" w:cs="Arial" w:eastAsia="Arial" w:hAnsi="Arial"/>
          <w:color w:val="5A5E54"/>
          <w:sz w:val="18"/>
          <w:szCs w:val="18"/>
        </w:rPr>
        <w:t xml:space="preserve">Programma di</w:t>
      </w:r>
    </w:p>
    <w:p>
      <w:pPr>
        <w:jc w:val="center"/>
      </w:pPr>
      <w:r>
        <w:drawing>
          <wp:inline distT="0" distB="0" distL="0" distR="0">
            <wp:extent cx="1905000" cy="6858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05000" cy="685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ectPr>
          <w:pgSz w:w="11906" w:h="16838" w:orient="portrait"/>
          <w:pgMar w:top="1134" w:right="1134" w:bottom="1134" w:left="1134" w:header="567" w:footer="567" w:gutter="0"/>
          <w:pgNumType/>
          <w:docGrid w:linePitch="360"/>
        </w:sectPr>
      </w:pPr>
    </w:p>
    <w:p>
      <w:pPr>
        <w:pBdr>
          <w:bottom w:val="single" w:color="2F5D3A" w:sz="12" w:space="6"/>
        </w:pBdr>
        <w:spacing w:after="200" w:before="0"/>
      </w:pPr>
      <w:r>
        <w:rPr>
          <w:rFonts w:ascii="Arial" w:cs="Arial" w:eastAsia="Arial" w:hAnsi="Arial"/>
          <w:b/>
          <w:bCs/>
          <w:color w:val="2F5D3A"/>
          <w:sz w:val="30"/>
          <w:szCs w:val="30"/>
        </w:rPr>
        <w:t xml:space="preserve">Registro delle revisioni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00"/>
        <w:gridCol w:w="1300"/>
        <w:gridCol w:w="5538"/>
        <w:gridCol w:w="2000"/>
      </w:tblGrid>
      <w:tr>
        <w:trPr>
          <w:tblHeader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Rev.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Data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Descrizione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Autore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2.7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Assistente virtuale: messaggio «Un attimo…» durante l'attesa.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2.6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Nuovo capitolo «L'assistente virtuale».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2.5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Ordinamento degli elenchi e delle tabelle.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2.4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Primo accesso: le credenziali arrivano per email.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2.3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Simulazione dei crediti: anche stima economica con costi Caso 1 e Caso 2.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2.2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Simulazione dei crediti disponibile su richiesta alla Fondazione.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2.1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Simulazione dei crediti in arrivo (capitolo Dati per il calcolo dei crediti).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2.0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Allineamento ai documenti ufficiali del Programma: Rapporto a 7 fasi, feedback pubblico (30 e 20 giorni), stato nel Programma e ID, dati del progetto, un solo account per Organizzazione, ritiro e rientro, conservazione 12 anni, tipologie ufficiali, Schema tariffario, verifica sull'accuratezza; nuovi capitoli Crediti emessi, Reclami, pagina pubblica del Programma.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1.9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Rapporti di Monitoraggio con 4 fasi; documenti richiesti per fase; caricamenti solo nelle fasi aperte; osservazioni numerate e notifica di quelle da rispondere; data di conservazione; fascicolo con riepilogo PDF.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1.8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Nuova tipologia di documento «Rapporto di calcolo dei crediti».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1.7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Dati per il calcolo dei crediti: il file caricato nella pratica è letto direttamente dalla Fondazione; controllo dei dati personali.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1.6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Messaggi con la Fondazione (nuovo capitolo), note della Fondazione e modelli nelle fasi, Ente di Validazione, avviso sulle pratiche non attive, pagamenti visibili, consultazione sulla pagina pubblica con conferma dell'email ed errata corrige, nuove notifiche.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1.5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Manuale scaricabile anche dalla pagina «I tuoi documenti»; per gli utenti il manuale è disponibile solo in PDF.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1.4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Recupero della password: nuova email in italiano dal portale (oggetto e pulsante), limite di una richiesta ogni 2 minuti.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1.3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Pagina «Il mio profilo» (account, cambio password, manuale da scaricare).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1.2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Scelta della password al primo accesso, cambio password, recupero della password dimenticata; ritorno alla pratica dopo l'accesso da un link email.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1.1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Voce di menu «Manuale» e pagina di download del manuale (capitolo 2).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1.0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Prima emissione: accesso, pratiche e fasi, documenti, integrazioni, consultazione pubblica, rapporti di monitoraggio, notifiche, tracciato dati per il calcolo dei crediti.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</w:tbl>
    <w:p>
      <w:pPr>
        <w:spacing w:after="200"/>
      </w:pPr>
    </w:p>
    <w:p>
      <w:pPr>
        <w:spacing w:after="160"/>
      </w:pPr>
      <w:r>
        <w:rPr>
          <w:rFonts w:ascii="Arial" w:cs="Arial" w:eastAsia="Arial" w:hAnsi="Arial"/>
          <w:color w:val="5A5E54"/>
          <w:sz w:val="20"/>
          <w:szCs w:val="20"/>
        </w:rPr>
        <w:t xml:space="preserve">Questo documento descrive il portale alla revisione 2.7 del 19/10/2026. A ogni modifica del portale il manuale viene aggiornato e la revisione incrementata; la versione corrente si scarica dal portale.</w:t>
      </w:r>
    </w:p>
    <w:p>
      <w:r>
        <w:br w:type="page"/>
      </w:r>
    </w:p>
    <w:p>
      <w:pPr>
        <w:pBdr>
          <w:bottom w:val="single" w:color="2F5D3A" w:sz="12" w:space="6"/>
        </w:pBdr>
        <w:spacing w:after="200" w:before="0"/>
      </w:pPr>
      <w:r>
        <w:rPr>
          <w:rFonts w:ascii="Arial" w:cs="Arial" w:eastAsia="Arial" w:hAnsi="Arial"/>
          <w:b/>
          <w:bCs/>
          <w:color w:val="2F5D3A"/>
          <w:sz w:val="30"/>
          <w:szCs w:val="30"/>
        </w:rPr>
        <w:t xml:space="preserve">Sommario</w:t>
      </w:r>
    </w:p>
    <w:p>
      <w:pPr>
        <w:tabs>
          <w:tab w:val="right" w:pos="9638" w:leader="dot"/>
        </w:tabs>
        <w:spacing w:after="130"/>
      </w:pPr>
      <w:hyperlink w:history="1" w:anchor="cap1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1.  Introduzione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4</w:t>
        </w:r>
      </w:hyperlink>
    </w:p>
    <w:p>
      <w:pPr>
        <w:tabs>
          <w:tab w:val="right" w:pos="9638" w:leader="dot"/>
        </w:tabs>
        <w:spacing w:after="130"/>
      </w:pPr>
      <w:hyperlink w:history="1" w:anchor="cap2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2.  Primo accesso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5</w:t>
        </w:r>
      </w:hyperlink>
    </w:p>
    <w:p>
      <w:pPr>
        <w:tabs>
          <w:tab w:val="right" w:pos="9638" w:leader="dot"/>
        </w:tabs>
        <w:spacing w:after="130"/>
      </w:pPr>
      <w:hyperlink w:history="1" w:anchor="cap3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3.  La pagina Le mie pratiche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7</w:t>
        </w:r>
      </w:hyperlink>
    </w:p>
    <w:p>
      <w:pPr>
        <w:tabs>
          <w:tab w:val="right" w:pos="9638" w:leader="dot"/>
        </w:tabs>
        <w:spacing w:after="130"/>
      </w:pPr>
      <w:hyperlink w:history="1" w:anchor="cap4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4.  Seguire una pratica: fasi e scadenze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9</w:t>
        </w:r>
      </w:hyperlink>
    </w:p>
    <w:p>
      <w:pPr>
        <w:tabs>
          <w:tab w:val="right" w:pos="9638" w:leader="dot"/>
        </w:tabs>
        <w:spacing w:after="130"/>
      </w:pPr>
      <w:hyperlink w:history="1" w:anchor="cap5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5.  Caricare documenti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11</w:t>
        </w:r>
      </w:hyperlink>
    </w:p>
    <w:p>
      <w:pPr>
        <w:tabs>
          <w:tab w:val="right" w:pos="9638" w:leader="dot"/>
        </w:tabs>
        <w:spacing w:after="130"/>
      </w:pPr>
      <w:hyperlink w:history="1" w:anchor="cap6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6.  Rispondere a una richiesta di integrazione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12</w:t>
        </w:r>
      </w:hyperlink>
    </w:p>
    <w:p>
      <w:pPr>
        <w:tabs>
          <w:tab w:val="right" w:pos="9638" w:leader="dot"/>
        </w:tabs>
        <w:spacing w:after="130"/>
      </w:pPr>
      <w:hyperlink w:history="1" w:anchor="cap7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7.  Feedback pubblico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13</w:t>
        </w:r>
      </w:hyperlink>
    </w:p>
    <w:p>
      <w:pPr>
        <w:tabs>
          <w:tab w:val="right" w:pos="9638" w:leader="dot"/>
        </w:tabs>
        <w:spacing w:after="130"/>
      </w:pPr>
      <w:hyperlink w:history="1" w:anchor="cap8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8.  Messaggi con la Fondazione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14</w:t>
        </w:r>
      </w:hyperlink>
    </w:p>
    <w:p>
      <w:pPr>
        <w:tabs>
          <w:tab w:val="right" w:pos="9638" w:leader="dot"/>
        </w:tabs>
        <w:spacing w:after="130"/>
      </w:pPr>
      <w:hyperlink w:history="1" w:anchor="cap9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9.  Rapporti di monitoraggio e pagamenti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15</w:t>
        </w:r>
      </w:hyperlink>
    </w:p>
    <w:p>
      <w:pPr>
        <w:tabs>
          <w:tab w:val="right" w:pos="9638" w:leader="dot"/>
        </w:tabs>
        <w:spacing w:after="130"/>
      </w:pPr>
      <w:hyperlink w:history="1" w:anchor="cap10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10.  Crediti emessi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16</w:t>
        </w:r>
      </w:hyperlink>
    </w:p>
    <w:p>
      <w:pPr>
        <w:tabs>
          <w:tab w:val="right" w:pos="9638" w:leader="dot"/>
        </w:tabs>
        <w:spacing w:after="130"/>
      </w:pPr>
      <w:hyperlink w:history="1" w:anchor="cap11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11.  I tuoi documenti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17</w:t>
        </w:r>
      </w:hyperlink>
    </w:p>
    <w:p>
      <w:pPr>
        <w:tabs>
          <w:tab w:val="right" w:pos="9638" w:leader="dot"/>
        </w:tabs>
        <w:spacing w:after="130"/>
      </w:pPr>
      <w:hyperlink w:history="1" w:anchor="cap12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12.  Notifiche ed email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18</w:t>
        </w:r>
      </w:hyperlink>
    </w:p>
    <w:p>
      <w:pPr>
        <w:tabs>
          <w:tab w:val="right" w:pos="9638" w:leader="dot"/>
        </w:tabs>
        <w:spacing w:after="130"/>
      </w:pPr>
      <w:hyperlink w:history="1" w:anchor="cap13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13.  Dati per il calcolo dei crediti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19</w:t>
        </w:r>
      </w:hyperlink>
    </w:p>
    <w:p>
      <w:pPr>
        <w:tabs>
          <w:tab w:val="right" w:pos="9638" w:leader="dot"/>
        </w:tabs>
        <w:spacing w:after="130"/>
      </w:pPr>
      <w:hyperlink w:history="1" w:anchor="cap14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14.  Reclami e richieste di chiarimento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20</w:t>
        </w:r>
      </w:hyperlink>
    </w:p>
    <w:p>
      <w:pPr>
        <w:tabs>
          <w:tab w:val="right" w:pos="9638" w:leader="dot"/>
        </w:tabs>
        <w:spacing w:after="130"/>
      </w:pPr>
      <w:hyperlink w:history="1" w:anchor="cap15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15.  La pagina pubblica del Programma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21</w:t>
        </w:r>
      </w:hyperlink>
    </w:p>
    <w:p>
      <w:pPr>
        <w:tabs>
          <w:tab w:val="right" w:pos="9638" w:leader="dot"/>
        </w:tabs>
        <w:spacing w:after="130"/>
      </w:pPr>
      <w:hyperlink w:history="1" w:anchor="cap16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16.  L'assistente virtuale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22</w:t>
        </w:r>
      </w:hyperlink>
    </w:p>
    <w:p>
      <w:pPr>
        <w:tabs>
          <w:tab w:val="right" w:pos="9638" w:leader="dot"/>
        </w:tabs>
        <w:spacing w:after="130"/>
      </w:pPr>
      <w:hyperlink w:history="1" w:anchor="cap17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17.  Domande frequenti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23</w:t>
        </w:r>
      </w:hyperlink>
    </w:p>
    <w:p>
      <w:pPr>
        <w:sectPr>
          <w:headerReference w:type="default" r:id="rId7"/>
          <w:footerReference w:type="default" r:id="rId8"/>
          <w:pgSz w:w="11906" w:h="16838" w:orient="portrait"/>
          <w:pgMar w:top="1134" w:right="1134" w:bottom="1134" w:left="1134" w:header="567" w:footer="567" w:gutter="0"/>
          <w:pgNumType/>
          <w:docGrid w:linePitch="360"/>
        </w:sectPr>
      </w:pP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1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1. Introduzione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Il portale Carbon WastePrint è lo strumento con cui il vostro ente segue, insieme a Fondazione Operate, la partecipazione al Programma Carbon WastePrint®: dall'adesione del Progetto fino alle verifiche, ai Rapporti di Monitoraggio annuali e ai crediti emessi.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Nel portale potete: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vedere in che fase si trova ogni vostra pratica, le relative scadenze e lo stato nel Programma;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caricare i documenti richiesti e scaricare quelli messi a disposizione dalla Fondazione;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rispondere alle richieste di integrazione;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rispondere alle osservazioni ricevute durante il feedback pubblico;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scrivere alla Fondazione nella sezione Messaggi di ogni pratica;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vedere le voci di pagamento e scaricare i modelli di documento;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vedere i crediti emessi dai vostri Rapporti di Monitoraggio;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inviare reclami e richieste di chiarimento;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ricevere notifiche nel portale e per email;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scaricare il tracciato per inviare i dati utili al calcolo dei crediti.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Cosa serve: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un computer o tablet con un browser aggiornato (Chrome, Edge, Firefox, Safari) e le credenziali fornite dalla Fondazione. Indirizzo del portale: </w:t>
      </w:r>
      <w:hyperlink w:history="1" r:id="rIdt_jsgstngfc_7tb4p5_co">
        <w:r>
          <w:rPr>
            <w:rFonts w:ascii="Arial" w:cs="Arial" w:eastAsia="Arial" w:hAnsi="Arial"/>
            <w:color w:val="2F5D3A"/>
            <w:sz w:val="21"/>
            <w:szCs w:val="21"/>
            <w:u w:val="single"/>
          </w:rPr>
          <w:t xml:space="preserve">portale-cwp.vercel.app</w:t>
        </w:r>
      </w:hyperlink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Chi è l'utente: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in questo manuale «utente» è il referente del Comune, dell'ente o del soggetto gestore (nel portale: ruolo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Cliente / Organizzazione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). Nel linguaggio del Programma il vostro ente è il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promotore del progetto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; Fondazione Operate è il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promotore del programma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Un solo account per Organizzazione.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Ogni Organizzazione ha un solo account attivo: quello del rappresentante autorizzato. L'Organizzazione può indicare fino a 2 delegati con il Modulo di delega di rappresentanza: il primo è il rappresentante con l'account, il secondo è un sostituto senza account. Per cambiare rappresentante chiedete alla Fondazione: disattiva l'account attuale e ne crea uno nuovo. Un utente può invece seguire più organizzazioni, ad esempio un delegato di più Comuni.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2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2. Primo accesso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Le credenziali vi arrivano per email da Fondazione Operate, con oggetto «Portale Carbon WastePrint (CWP) — Il tuo accesso al Portale CWP»: l'indirizzo del portale, l'email di accesso e la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password temporanea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con il pulsante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Accedi al portale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Se l'email non arriva, controllate la posta indesiderata oppure chiedete le credenziali a Fondazione Operate. Non inoltrate l'email e cancellatela dopo aver scelto la vostra password.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Aprite </w:t>
      </w:r>
      <w:hyperlink w:history="1" r:id="rIdvyxf-hxkelwdxlcqfahtr">
        <w:r>
          <w:rPr>
            <w:rFonts w:ascii="Arial" w:cs="Arial" w:eastAsia="Arial" w:hAnsi="Arial"/>
            <w:color w:val="2F5D3A"/>
            <w:sz w:val="21"/>
            <w:szCs w:val="21"/>
            <w:u w:val="single"/>
          </w:rPr>
          <w:t xml:space="preserve">portale-cwp.vercel.app</w:t>
        </w:r>
      </w:hyperlink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Inserite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Email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Password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Premete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Accedi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Durante la verifica il pulsante mostra «Accesso in corso…».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Al primo accesso compare la pagina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Scegli la tua password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scrivete due volte una password personale e premete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Salva la password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Finché non lo fate il portale non vi lascia proseguire.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Si apre la pagina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Le mie pratiche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spacing w:after="60"/>
      </w:pP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Regole per la password: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almeno 10 caratteri, con almeno una lettera e un numero, senza il vostro indirizzo email. Usate una password che non adoperate per altri servizi.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In alto trovate il menu (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Le mie pratiche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 tuoi documenti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Formato dati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Reclami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Il Programma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Manuale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), la campanella delle notifiche, l'indicazione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Cliente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il vostro indirizzo email con il collegamento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Il mio profilo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 il pulsante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Esci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per uscire.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065"/>
        <w:gridCol w:w="7573"/>
      </w:tblGrid>
      <w:tr>
        <w:trPr>
          <w:tblHeader/>
        </w:trPr>
        <w:tc>
          <w:tcPr>
            <w:tcW w:type="dxa" w:w="206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Voce del menu</w:t>
            </w:r>
          </w:p>
        </w:tc>
        <w:tc>
          <w:tcPr>
            <w:tcW w:type="dxa" w:w="75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Cosa trovate</w:t>
            </w:r>
          </w:p>
        </w:tc>
      </w:tr>
      <w:tr>
        <w:trPr>
          <w:cantSplit/>
        </w:trPr>
        <w:tc>
          <w:tcPr>
            <w:tcW w:type="dxa" w:w="206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Le mie pratiche</w:t>
            </w:r>
          </w:p>
        </w:tc>
        <w:tc>
          <w:tcPr>
            <w:tcW w:type="dxa" w:w="75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 vostri Progetti e Rapporti (capitolo 3)</w:t>
            </w:r>
          </w:p>
        </w:tc>
      </w:tr>
      <w:tr>
        <w:trPr>
          <w:cantSplit/>
        </w:trPr>
        <w:tc>
          <w:tcPr>
            <w:tcW w:type="dxa" w:w="206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 tuoi documenti</w:t>
            </w:r>
          </w:p>
        </w:tc>
        <w:tc>
          <w:tcPr>
            <w:tcW w:type="dxa" w:w="75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 documenti generali di tutte le pratiche (capitolo 11)</w:t>
            </w:r>
          </w:p>
        </w:tc>
      </w:tr>
      <w:tr>
        <w:trPr>
          <w:cantSplit/>
        </w:trPr>
        <w:tc>
          <w:tcPr>
            <w:tcW w:type="dxa" w:w="206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Formato dati</w:t>
            </w:r>
          </w:p>
        </w:tc>
        <w:tc>
          <w:tcPr>
            <w:tcW w:type="dxa" w:w="75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tracciato per i dati del calcolo dei crediti (capitolo 13)</w:t>
            </w:r>
          </w:p>
        </w:tc>
      </w:tr>
      <w:tr>
        <w:trPr>
          <w:cantSplit/>
        </w:trPr>
        <w:tc>
          <w:tcPr>
            <w:tcW w:type="dxa" w:w="206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Reclami</w:t>
            </w:r>
          </w:p>
        </w:tc>
        <w:tc>
          <w:tcPr>
            <w:tcW w:type="dxa" w:w="75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Reclami e richieste di chiarimento (capitolo 14)</w:t>
            </w:r>
          </w:p>
        </w:tc>
      </w:tr>
      <w:tr>
        <w:trPr>
          <w:cantSplit/>
        </w:trPr>
        <w:tc>
          <w:tcPr>
            <w:tcW w:type="dxa" w:w="206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Programma</w:t>
            </w:r>
          </w:p>
        </w:tc>
        <w:tc>
          <w:tcPr>
            <w:tcW w:type="dxa" w:w="75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pagina pubblica del Programma (capitolo 15)</w:t>
            </w:r>
          </w:p>
        </w:tc>
      </w:tr>
      <w:tr>
        <w:trPr>
          <w:cantSplit/>
        </w:trPr>
        <w:tc>
          <w:tcPr>
            <w:tcW w:type="dxa" w:w="206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Manuale</w:t>
            </w:r>
          </w:p>
        </w:tc>
        <w:tc>
          <w:tcPr>
            <w:tcW w:type="dxa" w:w="75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Questo manuale in PDF</w:t>
            </w:r>
          </w:p>
        </w:tc>
      </w:tr>
    </w:tbl>
    <w:p>
      <w:pPr>
        <w:spacing w:after="1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134"/>
        <w:gridCol w:w="2142"/>
        <w:gridCol w:w="4362"/>
      </w:tblGrid>
      <w:tr>
        <w:trPr>
          <w:tblHeader/>
        </w:trPr>
        <w:tc>
          <w:tcPr>
            <w:tcW w:type="dxa" w:w="313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Messaggio</w:t>
            </w:r>
          </w:p>
        </w:tc>
        <w:tc>
          <w:tcPr>
            <w:tcW w:type="dxa" w:w="214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Cosa significa</w:t>
            </w:r>
          </w:p>
        </w:tc>
        <w:tc>
          <w:tcPr>
            <w:tcW w:type="dxa" w:w="436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Cosa fare</w:t>
            </w:r>
          </w:p>
        </w:tc>
      </w:tr>
      <w:tr>
        <w:trPr>
          <w:cantSplit/>
        </w:trPr>
        <w:tc>
          <w:tcPr>
            <w:tcW w:type="dxa" w:w="313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Email o password non corretti.</w:t>
            </w:r>
          </w:p>
        </w:tc>
        <w:tc>
          <w:tcPr>
            <w:tcW w:type="dxa" w:w="214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Credenziali sbagliate</w:t>
            </w:r>
          </w:p>
        </w:tc>
        <w:tc>
          <w:tcPr>
            <w:tcW w:type="dxa" w:w="436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Ricontrollate maiuscole e spazi, poi riprovate</w:t>
            </w:r>
          </w:p>
        </w:tc>
      </w:tr>
      <w:tr>
        <w:trPr>
          <w:cantSplit/>
        </w:trPr>
        <w:tc>
          <w:tcPr>
            <w:tcW w:type="dxa" w:w="313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Accesso non riuscito. Riprova.</w:t>
            </w:r>
          </w:p>
        </w:tc>
        <w:tc>
          <w:tcPr>
            <w:tcW w:type="dxa" w:w="214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Problema temporaneo</w:t>
            </w:r>
          </w:p>
        </w:tc>
        <w:tc>
          <w:tcPr>
            <w:tcW w:type="dxa" w:w="436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Riprovate dopo qualche minuto</w:t>
            </w:r>
          </w:p>
        </w:tc>
      </w:tr>
    </w:tbl>
    <w:p>
      <w:pPr>
        <w:spacing w:after="160"/>
      </w:pP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Il manuale.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La voce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Manuale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 menu, la pagina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 tuoi documenti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 la pagina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Il mio profilo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permettono di aprire e scaricare questo manuale in PDF, sempre nella revisione più recente.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Il mio profilo.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Fate clic sul vostro indirizzo email in alto (sotto c'è scritto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Il mio profilo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): trovate i dati del vostro account, il pulsante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Cambia password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 il manuale da scaricare.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Cambiare la password.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In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Il mio profilo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premete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Cambia password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inserite la password attuale e due volte quella nuova, poi premete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Salva la password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Password dimenticata.</w:t>
      </w:r>
    </w:p>
    <w:p>
      <w:pPr>
        <w:pStyle w:val="ListParagraph"/>
        <w:numPr>
          <w:ilvl w:val="0"/>
          <w:numId w:val="4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Nella pagina di accesso premete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Password dimenticata?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Inserite la vostra email e premete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Invia il collegamento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Aprite l'email «Portale Carbon WastePrint (CWP) — Richiesta di reimpostazione della password» e premete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Scegli una nuova password →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si apre la pagina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Nuova password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 portale.</w:t>
      </w:r>
    </w:p>
    <w:p>
      <w:pPr>
        <w:pStyle w:val="ListParagraph"/>
        <w:numPr>
          <w:ilvl w:val="0"/>
          <w:numId w:val="4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Scrivete due volte la nuova password e premete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Salva la password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spacing w:after="60"/>
      </w:pP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Il collegamento vale una sola volta e per un tempo limitato; se è scaduto compare «Collegamento non valido» e basta richiederne un altro (al massimo una richiesta ogni 2 minuti). Se non avete chiesto voi il recupero, ignorate l'email: la password resta quella di prima. Se l'email non arriva, controllate la posta indesiderata oppure chiedete a Fondazione Operate una password temporanea.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3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3. La pagina Le mie pratiche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La pagina elenca i Progetti della vostra organizzazione (o delle organizzazioni che seguite), dal più recente. I Rapporti di Monitoraggio annuali si trovano dentro ciascun Progetto (capitolo 9).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Ordinare gli elenchi.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Con più pratiche o documenti, in alto compare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Ordina per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scegliete il campo (titolo, codice, stato, data…) e con il pulsante ▲/▼ l'ordine crescente o decrescente. Nelle tabelle basta fare clic sull'intestazione della colonna.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Ogni riquadro mostra il titolo del progetto, lo stato e il codice della pratica con il nome dell'ente.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493"/>
        <w:gridCol w:w="8145"/>
      </w:tblGrid>
      <w:tr>
        <w:trPr>
          <w:tblHeader/>
        </w:trPr>
        <w:tc>
          <w:tcPr>
            <w:tcW w:type="dxa" w:w="149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Stato</w:t>
            </w:r>
          </w:p>
        </w:tc>
        <w:tc>
          <w:tcPr>
            <w:tcW w:type="dxa" w:w="814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Significato</w:t>
            </w:r>
          </w:p>
        </w:tc>
      </w:tr>
      <w:tr>
        <w:trPr>
          <w:cantSplit/>
        </w:trPr>
        <w:tc>
          <w:tcPr>
            <w:tcW w:type="dxa" w:w="149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Attiva</w:t>
            </w:r>
          </w:p>
        </w:tc>
        <w:tc>
          <w:tcPr>
            <w:tcW w:type="dxa" w:w="814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pratica procede normalmente</w:t>
            </w:r>
          </w:p>
        </w:tc>
      </w:tr>
      <w:tr>
        <w:trPr>
          <w:cantSplit/>
        </w:trPr>
        <w:tc>
          <w:tcPr>
            <w:tcW w:type="dxa" w:w="149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Sospesa</w:t>
            </w:r>
          </w:p>
        </w:tc>
        <w:tc>
          <w:tcPr>
            <w:tcW w:type="dxa" w:w="814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Temporaneamente ferma: non si possono caricare documenti e non si emettono crediti</w:t>
            </w:r>
          </w:p>
        </w:tc>
      </w:tr>
      <w:tr>
        <w:trPr>
          <w:cantSplit/>
        </w:trPr>
        <w:tc>
          <w:tcPr>
            <w:tcW w:type="dxa" w:w="149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Annullata</w:t>
            </w:r>
          </w:p>
        </w:tc>
        <w:tc>
          <w:tcPr>
            <w:tcW w:type="dxa" w:w="814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pratica non prosegue</w:t>
            </w:r>
          </w:p>
        </w:tc>
      </w:tr>
      <w:tr>
        <w:trPr>
          <w:cantSplit/>
        </w:trPr>
        <w:tc>
          <w:tcPr>
            <w:tcW w:type="dxa" w:w="149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Chiusa</w:t>
            </w:r>
          </w:p>
        </w:tc>
        <w:tc>
          <w:tcPr>
            <w:tcW w:type="dxa" w:w="814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Percorso concluso</w:t>
            </w:r>
          </w:p>
        </w:tc>
      </w:tr>
      <w:tr>
        <w:trPr>
          <w:cantSplit/>
        </w:trPr>
        <w:tc>
          <w:tcPr>
            <w:tcW w:type="dxa" w:w="149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Ritirato</w:t>
            </w:r>
          </w:p>
        </w:tc>
        <w:tc>
          <w:tcPr>
            <w:tcW w:type="dxa" w:w="814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Solo per i Progetti: il Progetto è uscito dal Programma su richiesta dei promotori (capitolo 4)</w:t>
            </w:r>
          </w:p>
        </w:tc>
      </w:tr>
    </w:tbl>
    <w:p>
      <w:pPr>
        <w:spacing w:after="160"/>
      </w:pP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Per aprire una pratica fate clic sul suo riquadro: il dettaglio compare sotto l'elenco, nella stessa pagina. All'apertura viene mostrata automaticamente la pratica più recente.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Se non vedete pratiche compare il messaggio «Non risultano ancora pratiche a tuo carico»: la pratica appare quando la Fondazione registra il vostro progetto.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L'intestazione della pratica.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In cima al dettaglio trovate: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l'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ID progetto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ID rapporto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), ad esempio «ID progetto: CWP-2026-0001». È il codice univoco assegnato dalla Fondazione: usatelo in ogni comunicazione;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il nome dell'ente e il titolo del progetto;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lo stato della pratica (tabella sopra);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lo stato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Nel Programma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(tabella sotto).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Se la pratica non è attiva è indicata anche la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Motivazione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Il pulsante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Scarica documentazione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scarica in un unico file ZIP tutti i documenti della pratica (tutte le versioni), un riepilogo in PDF (Riepilogo.pdf) e i riepiloghi in formato CSV, comprese le osservazioni del feedback pubblico con i loro allegati, le note condivise e i messaggi.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Lo stato nel Programma.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Accanto allo stato della pratica compare «Nel Programma: …», con i nomi usati dalla Guida al Programma. Si aggiorna da solo quando la Fondazione chiude le fasi.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171"/>
        <w:gridCol w:w="6467"/>
      </w:tblGrid>
      <w:tr>
        <w:trPr>
          <w:tblHeader/>
        </w:trPr>
        <w:tc>
          <w:tcPr>
            <w:tcW w:type="dxa" w:w="3171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Nel Programma</w:t>
            </w:r>
          </w:p>
        </w:tc>
        <w:tc>
          <w:tcPr>
            <w:tcW w:type="dxa" w:w="646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Quando</w:t>
            </w:r>
          </w:p>
        </w:tc>
      </w:tr>
      <w:tr>
        <w:trPr>
          <w:cantSplit/>
        </w:trPr>
        <w:tc>
          <w:tcPr>
            <w:tcW w:type="dxa" w:w="3171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richiesta di registrazione</w:t>
            </w:r>
          </w:p>
        </w:tc>
        <w:tc>
          <w:tcPr>
            <w:tcW w:type="dxa" w:w="646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Fino alla fine della fase 2 (per il Rapporto: richiesta di registrazione del rapporto)</w:t>
            </w:r>
          </w:p>
        </w:tc>
      </w:tr>
      <w:tr>
        <w:trPr>
          <w:cantSplit/>
        </w:trPr>
        <w:tc>
          <w:tcPr>
            <w:tcW w:type="dxa" w:w="3171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in fase di validazione</w:t>
            </w:r>
          </w:p>
        </w:tc>
        <w:tc>
          <w:tcPr>
            <w:tcW w:type="dxa" w:w="646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Dopo la fase 2</w:t>
            </w:r>
          </w:p>
        </w:tc>
      </w:tr>
      <w:tr>
        <w:trPr>
          <w:cantSplit/>
        </w:trPr>
        <w:tc>
          <w:tcPr>
            <w:tcW w:type="dxa" w:w="3171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in fase di verifica documentale</w:t>
            </w:r>
          </w:p>
        </w:tc>
        <w:tc>
          <w:tcPr>
            <w:tcW w:type="dxa" w:w="646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Dopo la fase 5</w:t>
            </w:r>
          </w:p>
        </w:tc>
      </w:tr>
      <w:tr>
        <w:trPr>
          <w:cantSplit/>
        </w:trPr>
        <w:tc>
          <w:tcPr>
            <w:tcW w:type="dxa" w:w="3171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progetto registrato</w:t>
            </w:r>
          </w:p>
        </w:tc>
        <w:tc>
          <w:tcPr>
            <w:tcW w:type="dxa" w:w="646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Dopo la fase 6 (per il Rapporto: rapporto registrato e crediti registrati)</w:t>
            </w:r>
          </w:p>
        </w:tc>
      </w:tr>
      <w:tr>
        <w:trPr>
          <w:cantSplit/>
        </w:trPr>
        <w:tc>
          <w:tcPr>
            <w:tcW w:type="dxa" w:w="3171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progetto ritirato</w:t>
            </w:r>
          </w:p>
        </w:tc>
        <w:tc>
          <w:tcPr>
            <w:tcW w:type="dxa" w:w="646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Progetto è stato ritirato</w:t>
            </w:r>
          </w:p>
        </w:tc>
      </w:tr>
      <w:tr>
        <w:trPr>
          <w:cantSplit/>
        </w:trPr>
        <w:tc>
          <w:tcPr>
            <w:tcW w:type="dxa" w:w="3171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non registrato (pratica annullata)</w:t>
            </w:r>
          </w:p>
        </w:tc>
        <w:tc>
          <w:tcPr>
            <w:tcW w:type="dxa" w:w="646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pratica è stata annullata</w:t>
            </w:r>
          </w:p>
        </w:tc>
      </w:tr>
    </w:tbl>
    <w:p>
      <w:pPr>
        <w:spacing w:after="160"/>
      </w:pP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 dati del progetto.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Sotto l'intestazione trovate i dati principali, inseriti dalla Fondazione: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550"/>
        <w:gridCol w:w="7088"/>
      </w:tblGrid>
      <w:tr>
        <w:trPr>
          <w:tblHeader/>
        </w:trPr>
        <w:tc>
          <w:tcPr>
            <w:tcW w:type="dxa" w:w="255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Dato</w:t>
            </w:r>
          </w:p>
        </w:tc>
        <w:tc>
          <w:tcPr>
            <w:tcW w:type="dxa" w:w="708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Cosa indica</w:t>
            </w:r>
          </w:p>
        </w:tc>
      </w:tr>
      <w:tr>
        <w:trPr>
          <w:cantSplit/>
        </w:trPr>
        <w:tc>
          <w:tcPr>
            <w:tcW w:type="dxa" w:w="255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Territorio (codici ISTAT)</w:t>
            </w:r>
          </w:p>
        </w:tc>
        <w:tc>
          <w:tcPr>
            <w:tcW w:type="dxa" w:w="708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 Comuni del progetto, con il codice ISTAT di 6 cifre</w:t>
            </w:r>
          </w:p>
        </w:tc>
      </w:tr>
      <w:tr>
        <w:trPr>
          <w:cantSplit/>
        </w:trPr>
        <w:tc>
          <w:tcPr>
            <w:tcW w:type="dxa" w:w="255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Co-promotori</w:t>
            </w:r>
          </w:p>
        </w:tc>
        <w:tc>
          <w:tcPr>
            <w:tcW w:type="dxa" w:w="708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Gli altri soggetti promotori del progetto, se ci sono</w:t>
            </w:r>
          </w:p>
        </w:tc>
      </w:tr>
      <w:tr>
        <w:trPr>
          <w:cantSplit/>
        </w:trPr>
        <w:tc>
          <w:tcPr>
            <w:tcW w:type="dxa" w:w="255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Periodo di riferimento</w:t>
            </w:r>
          </w:p>
        </w:tc>
        <w:tc>
          <w:tcPr>
            <w:tcW w:type="dxa" w:w="708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10 anni (una volta) oppure 7 anni rinnovabili 3 volte</w:t>
            </w:r>
          </w:p>
        </w:tc>
      </w:tr>
      <w:tr>
        <w:trPr>
          <w:cantSplit/>
        </w:trPr>
        <w:tc>
          <w:tcPr>
            <w:tcW w:type="dxa" w:w="255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Popolazione residente</w:t>
            </w:r>
          </w:p>
        </w:tc>
        <w:tc>
          <w:tcPr>
            <w:tcW w:type="dxa" w:w="708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Gli abitanti del territorio</w:t>
            </w:r>
          </w:p>
        </w:tc>
      </w:tr>
      <w:tr>
        <w:trPr>
          <w:cantSplit/>
        </w:trPr>
        <w:tc>
          <w:tcPr>
            <w:tcW w:type="dxa" w:w="255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Crediti previsti</w:t>
            </w:r>
          </w:p>
        </w:tc>
        <w:tc>
          <w:tcPr>
            <w:tcW w:type="dxa" w:w="708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Nel periodo, per il Progetto; nell'anno, per il Rapporto</w:t>
            </w:r>
          </w:p>
        </w:tc>
      </w:tr>
      <w:tr>
        <w:trPr>
          <w:cantSplit/>
        </w:trPr>
        <w:tc>
          <w:tcPr>
            <w:tcW w:type="dxa" w:w="255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Registrato il</w:t>
            </w:r>
          </w:p>
        </w:tc>
        <w:tc>
          <w:tcPr>
            <w:tcW w:type="dxa" w:w="708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data di registrazione: è il giorno in cui si chiude la fase 6. Nel Rapporto compare come «Crediti registrati il»</w:t>
            </w:r>
          </w:p>
        </w:tc>
      </w:tr>
    </w:tbl>
    <w:p>
      <w:pPr>
        <w:spacing w:after="160"/>
      </w:pP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Ogni Comune (codice ISTAT) può far parte di un solo Progetto, se non è annullato o ritirato. Se un dato non è corretto, scrivete alla Fondazione nella sezione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Messaggi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4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4. Seguire una pratica: fasi e scadenze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Ogni Progetto e ogni Rapporto di Monitoraggio attraversano 7 fasi. Le apre e le chiude Fondazione Operate; voi vedete in ogni momento a che punto siete e quanto tempo resta.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46"/>
        <w:gridCol w:w="2180"/>
        <w:gridCol w:w="1010"/>
        <w:gridCol w:w="1999"/>
        <w:gridCol w:w="1010"/>
        <w:gridCol w:w="2593"/>
      </w:tblGrid>
      <w:tr>
        <w:trPr>
          <w:tblHeader/>
        </w:trPr>
        <w:tc>
          <w:tcPr>
            <w:tcW w:type="dxa" w:w="84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Fase</w:t>
            </w:r>
          </w:p>
        </w:tc>
        <w:tc>
          <w:tcPr>
            <w:tcW w:type="dxa" w:w="218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Progetto</w:t>
            </w:r>
          </w:p>
        </w:tc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Giorni</w:t>
            </w:r>
          </w:p>
        </w:tc>
        <w:tc>
          <w:tcPr>
            <w:tcW w:type="dxa" w:w="199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Rapporto di Monitoraggio</w:t>
            </w:r>
          </w:p>
        </w:tc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Giorni</w:t>
            </w:r>
          </w:p>
        </w:tc>
        <w:tc>
          <w:tcPr>
            <w:tcW w:type="dxa" w:w="259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Responsabile</w:t>
            </w:r>
          </w:p>
        </w:tc>
      </w:tr>
      <w:tr>
        <w:trPr>
          <w:cantSplit/>
        </w:trPr>
        <w:tc>
          <w:tcPr>
            <w:tcW w:type="dxa" w:w="84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</w:t>
            </w:r>
          </w:p>
        </w:tc>
        <w:tc>
          <w:tcPr>
            <w:tcW w:type="dxa" w:w="218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Adesione</w:t>
            </w:r>
          </w:p>
        </w:tc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0</w:t>
            </w:r>
          </w:p>
        </w:tc>
        <w:tc>
          <w:tcPr>
            <w:tcW w:type="dxa" w:w="199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Registrazione del rapporto</w:t>
            </w:r>
          </w:p>
        </w:tc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0</w:t>
            </w:r>
          </w:p>
        </w:tc>
        <w:tc>
          <w:tcPr>
            <w:tcW w:type="dxa" w:w="259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Promotore del progetto (il vostro ente)</w:t>
            </w:r>
          </w:p>
        </w:tc>
      </w:tr>
      <w:tr>
        <w:trPr>
          <w:cantSplit/>
        </w:trPr>
        <w:tc>
          <w:tcPr>
            <w:tcW w:type="dxa" w:w="84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</w:t>
            </w:r>
          </w:p>
        </w:tc>
        <w:tc>
          <w:tcPr>
            <w:tcW w:type="dxa" w:w="218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Prima verifica documentale</w:t>
            </w:r>
          </w:p>
        </w:tc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10</w:t>
            </w:r>
          </w:p>
        </w:tc>
        <w:tc>
          <w:tcPr>
            <w:tcW w:type="dxa" w:w="199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Prima verifica documentale</w:t>
            </w:r>
          </w:p>
        </w:tc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10</w:t>
            </w:r>
          </w:p>
        </w:tc>
        <w:tc>
          <w:tcPr>
            <w:tcW w:type="dxa" w:w="259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Promotore del programma (la Fondazione)</w:t>
            </w:r>
          </w:p>
        </w:tc>
      </w:tr>
      <w:tr>
        <w:trPr>
          <w:cantSplit/>
        </w:trPr>
        <w:tc>
          <w:tcPr>
            <w:tcW w:type="dxa" w:w="84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</w:t>
            </w:r>
          </w:p>
        </w:tc>
        <w:tc>
          <w:tcPr>
            <w:tcW w:type="dxa" w:w="218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Feedback pubblico</w:t>
            </w:r>
          </w:p>
        </w:tc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30</w:t>
            </w:r>
          </w:p>
        </w:tc>
        <w:tc>
          <w:tcPr>
            <w:tcW w:type="dxa" w:w="199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Feedback pubblico</w:t>
            </w:r>
          </w:p>
        </w:tc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</w:t>
            </w:r>
          </w:p>
        </w:tc>
        <w:tc>
          <w:tcPr>
            <w:tcW w:type="dxa" w:w="259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Promotore del programma</w:t>
            </w:r>
          </w:p>
        </w:tc>
      </w:tr>
      <w:tr>
        <w:trPr>
          <w:cantSplit/>
        </w:trPr>
        <w:tc>
          <w:tcPr>
            <w:tcW w:type="dxa" w:w="84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4</w:t>
            </w:r>
          </w:p>
        </w:tc>
        <w:tc>
          <w:tcPr>
            <w:tcW w:type="dxa" w:w="218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Risposta ai commenti / pubblicazione</w:t>
            </w:r>
          </w:p>
        </w:tc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</w:t>
            </w:r>
          </w:p>
        </w:tc>
        <w:tc>
          <w:tcPr>
            <w:tcW w:type="dxa" w:w="199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Risposta ai commenti</w:t>
            </w:r>
          </w:p>
        </w:tc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15</w:t>
            </w:r>
          </w:p>
        </w:tc>
        <w:tc>
          <w:tcPr>
            <w:tcW w:type="dxa" w:w="259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Promotore del progetto</w:t>
            </w:r>
          </w:p>
        </w:tc>
      </w:tr>
      <w:tr>
        <w:trPr>
          <w:cantSplit/>
        </w:trPr>
        <w:tc>
          <w:tcPr>
            <w:tcW w:type="dxa" w:w="84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5</w:t>
            </w:r>
          </w:p>
        </w:tc>
        <w:tc>
          <w:tcPr>
            <w:tcW w:type="dxa" w:w="218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Validazione e verifica</w:t>
            </w:r>
          </w:p>
        </w:tc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75</w:t>
            </w:r>
          </w:p>
        </w:tc>
        <w:tc>
          <w:tcPr>
            <w:tcW w:type="dxa" w:w="199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Verifica del rapporto</w:t>
            </w:r>
          </w:p>
        </w:tc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60</w:t>
            </w:r>
          </w:p>
        </w:tc>
        <w:tc>
          <w:tcPr>
            <w:tcW w:type="dxa" w:w="259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Ente di validazione e verifica</w:t>
            </w:r>
          </w:p>
        </w:tc>
      </w:tr>
      <w:tr>
        <w:trPr>
          <w:cantSplit/>
        </w:trPr>
        <w:tc>
          <w:tcPr>
            <w:tcW w:type="dxa" w:w="84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6</w:t>
            </w:r>
          </w:p>
        </w:tc>
        <w:tc>
          <w:tcPr>
            <w:tcW w:type="dxa" w:w="218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Seconda verifica documentale</w:t>
            </w:r>
          </w:p>
        </w:tc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15</w:t>
            </w:r>
          </w:p>
        </w:tc>
        <w:tc>
          <w:tcPr>
            <w:tcW w:type="dxa" w:w="199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Seconda verifica documentale</w:t>
            </w:r>
          </w:p>
        </w:tc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10</w:t>
            </w:r>
          </w:p>
        </w:tc>
        <w:tc>
          <w:tcPr>
            <w:tcW w:type="dxa" w:w="259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Promotore del programma</w:t>
            </w:r>
          </w:p>
        </w:tc>
      </w:tr>
      <w:tr>
        <w:trPr>
          <w:cantSplit/>
        </w:trPr>
        <w:tc>
          <w:tcPr>
            <w:tcW w:type="dxa" w:w="84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</w:t>
            </w:r>
          </w:p>
        </w:tc>
        <w:tc>
          <w:tcPr>
            <w:tcW w:type="dxa" w:w="218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Chiusura</w:t>
            </w:r>
          </w:p>
        </w:tc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0</w:t>
            </w:r>
          </w:p>
        </w:tc>
        <w:tc>
          <w:tcPr>
            <w:tcW w:type="dxa" w:w="199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Chiusura</w:t>
            </w:r>
          </w:p>
        </w:tc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0</w:t>
            </w:r>
          </w:p>
        </w:tc>
        <w:tc>
          <w:tcPr>
            <w:tcW w:type="dxa" w:w="259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Promotore del programma</w:t>
            </w:r>
          </w:p>
        </w:tc>
      </w:tr>
    </w:tbl>
    <w:p>
      <w:pPr>
        <w:spacing w:after="160"/>
      </w:pP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 giorni sono le durate standard: la Fondazione può modificarle. Fa sempre fede la scadenza mostrata nella fase.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Ogni fase ha uno stato: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541"/>
        <w:gridCol w:w="7097"/>
      </w:tblGrid>
      <w:tr>
        <w:trPr>
          <w:tblHeader/>
        </w:trPr>
        <w:tc>
          <w:tcPr>
            <w:tcW w:type="dxa" w:w="2541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Stato</w:t>
            </w:r>
          </w:p>
        </w:tc>
        <w:tc>
          <w:tcPr>
            <w:tcW w:type="dxa" w:w="709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Significato</w:t>
            </w:r>
          </w:p>
        </w:tc>
      </w:tr>
      <w:tr>
        <w:trPr>
          <w:cantSplit/>
        </w:trPr>
        <w:tc>
          <w:tcPr>
            <w:tcW w:type="dxa" w:w="2541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Non iniziata</w:t>
            </w:r>
          </w:p>
        </w:tc>
        <w:tc>
          <w:tcPr>
            <w:tcW w:type="dxa" w:w="709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fase non è ancora stata aperta</w:t>
            </w:r>
          </w:p>
        </w:tc>
      </w:tr>
      <w:tr>
        <w:trPr>
          <w:cantSplit/>
        </w:trPr>
        <w:tc>
          <w:tcPr>
            <w:tcW w:type="dxa" w:w="2541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In corso</w:t>
            </w:r>
          </w:p>
        </w:tc>
        <w:tc>
          <w:tcPr>
            <w:tcW w:type="dxa" w:w="709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fase è aperta e ha una scadenza</w:t>
            </w:r>
          </w:p>
        </w:tc>
      </w:tr>
      <w:tr>
        <w:trPr>
          <w:cantSplit/>
        </w:trPr>
        <w:tc>
          <w:tcPr>
            <w:tcW w:type="dxa" w:w="2541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In attesa di integrazione</w:t>
            </w:r>
          </w:p>
        </w:tc>
        <w:tc>
          <w:tcPr>
            <w:tcW w:type="dxa" w:w="709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Fondazione vi ha chiesto un documento o un chiarimento (capitolo 6)</w:t>
            </w:r>
          </w:p>
        </w:tc>
      </w:tr>
      <w:tr>
        <w:trPr>
          <w:cantSplit/>
        </w:trPr>
        <w:tc>
          <w:tcPr>
            <w:tcW w:type="dxa" w:w="2541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Completata</w:t>
            </w:r>
          </w:p>
        </w:tc>
        <w:tc>
          <w:tcPr>
            <w:tcW w:type="dxa" w:w="709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fase è chiusa</w:t>
            </w:r>
          </w:p>
        </w:tc>
      </w:tr>
    </w:tbl>
    <w:p>
      <w:pPr>
        <w:spacing w:after="160"/>
      </w:pP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La fase aperta ha il bordo verde e il conto alla rovescia: «N gg alla scadenza» (in arancione negli ultimi 3 giorni), «scade oggi» oppure «scaduta da N gg» in rosso. Sotto il nome trovate, quando presenti, il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Responsabile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della fase, la data di apertura, la scadenza e la data di chiusura.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Dentro ogni fase trovate, quando presenti: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Richieste di integrazione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(capitolo 6);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Note della Fondazione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indicazioni che la Fondazione vi lascia su quella fase, con data e ora;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Modelli da scaricare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moduli o fac-simile da compilare per quella fase;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Documenti richiesti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l'elenco dei documenti attesi in quella fase, con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✓ presente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oppure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○ manca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Documenti della fase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Documenti richiesti dalla Guida al Programma.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Di norma le fasi chiedono questi documenti. L'elenco può cambiare: fa fede quello mostrato nella fase.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09"/>
        <w:gridCol w:w="4414"/>
        <w:gridCol w:w="4415"/>
      </w:tblGrid>
      <w:tr>
        <w:trPr>
          <w:tblHeader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Fase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Progetto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Rapporto di Monitoraggio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Modulo di descrizione del progetto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Modulo di descrizione del rapporto di monitoraggio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Contratto con l'ente di validazione e verifica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Contratto con l'ente di validazione e verifica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4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Documento di proprietà del progetto; Documento riassuntivo delle risultanze del periodo di feedback pubblico (anche se non ci sono state osservazioni)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Documento riassuntivo delle risultanze del periodo di feedback pubblico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5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Rapporto di validazione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Rapporto di verifica; Dichiarazione relativa all'effettività della generazione dei crediti</w:t>
            </w:r>
          </w:p>
        </w:tc>
      </w:tr>
    </w:tbl>
    <w:p>
      <w:pPr>
        <w:spacing w:after="160"/>
      </w:pP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Verifica sull'accuratezza e accertamenti.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Nelle due verifiche documentali (fasi 2 e 6) la Fondazione può avviare una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verifica sull'accuratezza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che aggiunge 15 giorni alla scadenza. Dopo può chiedere fino a 3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ulteriori accertamenti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di 10 giorni ciascuno. Ogni volta ricevete una notifica con la nuova scadenza. Nella fase compare la scritta «Verifica sull'accuratezza avviata · accertamenti: N di 3». Se dopo il terzo accertamento le revisioni non bastano, la richiesta non è accettata e si può ripresentare dopo 6 mesi.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Ente di validazione e verifica.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Quando la Fondazione assegna l'Ente di validazione e verifica al vostro Progetto, il suo nome compare nell'intestazione della pratica.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Pratica sospesa, annullata, chiusa o ritirata.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In alto compare un avviso: finché la pratica non torna attiva non si caricano documenti (il pulsante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+ Carica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non c'è) e non si risponde alle integrazioni. Potete sempre consultare tutto e scrivere alla Fondazione nella sezione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Messaggi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La sospensione ferma anche l'emissione dei crediti: la Fondazione la usa, ad esempio, per un controllo di qualità. Una pratica chiusa, annullata o ritirata riporta la data «Da conservare fino al» (12 anni).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Ritiro e rientro del Progetto.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Un Progetto si ritira dal Programma con una lettera di tutti i promotori del progetto (nome, ID del progetto, motivo). La Fondazione lo registra e il Progetto passa a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Ritirato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Il Progetto resta visibile sulla pagina pubblica, ma non emette più crediti e non può avere nuovi Rapporti. Per rientrare nel Programma serve una nuova lettera: la Fondazione registra il rientro e il Progetto torna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Attiva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In entrambi i casi ricevete una notifica.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5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5. Caricare documenti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 documenti si caricano in due punti della pratica: in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Documenti della fase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dentro la fase a cui si riferiscono, oppure in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Documenti generali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in fondo alla pratica, per quelli non legati a una fase.</w:t>
      </w:r>
    </w:p>
    <w:p>
      <w:pPr>
        <w:pStyle w:val="ListParagraph"/>
        <w:numPr>
          <w:ilvl w:val="0"/>
          <w:numId w:val="5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Aprite la pratica e individuate il riquadro giusto (fase o generali).</w:t>
      </w:r>
    </w:p>
    <w:p>
      <w:pPr>
        <w:pStyle w:val="ListParagraph"/>
        <w:numPr>
          <w:ilvl w:val="0"/>
          <w:numId w:val="5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Se la fase ha documenti richiesti, scegliete in «Che documento state caricando?» quale state caricando: così la fase segna il documento come presente.</w:t>
      </w:r>
    </w:p>
    <w:p>
      <w:pPr>
        <w:pStyle w:val="ListParagraph"/>
        <w:numPr>
          <w:ilvl w:val="0"/>
          <w:numId w:val="5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Premete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+ Carica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 scegliete il file dal computer.</w:t>
      </w:r>
    </w:p>
    <w:p>
      <w:pPr>
        <w:pStyle w:val="ListParagraph"/>
        <w:numPr>
          <w:ilvl w:val="0"/>
          <w:numId w:val="5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Attendete: il pulsante mostra «Caricamento…». A fine caricamento il documento compare nell'elenco.</w:t>
      </w:r>
    </w:p>
    <w:p>
      <w:pPr>
        <w:spacing w:after="60"/>
      </w:pP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Quando si può caricare.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Nelle fasi aperte (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In corso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o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In attesa di integrazione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) e tra i documenti generali. In una fase completata o non ancora aperta il pulsante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+ Carica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non c'è: se dovete inviare ancora qualcosa, scrivete alla Fondazione nella sezione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Messaggi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Formati accettati: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PDF (anche firmati .p7m), Word, Excel, OpenDocument, RTF, CSV, TXT, JPG, PNG, ZIP.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Dimensione massima: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50 MB per file.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Versioni.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Un documento non viene mai sovrascritto: se caricate un file con lo stesso nome, diventa la nuova versione (v2, v3…) con l'etichetta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corrente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Le versioni precedenti restano visibili in grigio e si possono scaricare.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Scaricare.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Ogni documento ha il pulsante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Scarica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il file si apre in una nuova scheda. Le etichette accanto al nome indicano la versione, se è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corrente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la tipologia e se è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pubblico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Chi vede cosa.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I documenti che caricate sono visibili a voi e alla Fondazione, mai pubblici. La Fondazione può mettervi a disposizione altri documenti, anche pubblici: i documenti pubblici compaiono anche sulla pagina pubblica del Programma (capitolo 15). Il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Contratto con l'ente di validazione e verifica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 il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Modulo di descrizione del progetto – versione privata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non sono mai pubblici.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Messaggio</w:t>
            </w:r>
          </w:p>
        </w:tc>
        <w:tc>
          <w:tcPr>
            <w:tcW w:type="dxa" w:w="481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Cosa fare</w:t>
            </w:r>
          </w:p>
        </w:tc>
      </w:tr>
      <w:tr>
        <w:trPr>
          <w:cantSplit/>
        </w:trPr>
        <w:tc>
          <w:tcPr>
            <w:tcW w:type="dxa" w:w="481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Formato non ammesso (.xxx)</w:t>
            </w:r>
          </w:p>
        </w:tc>
        <w:tc>
          <w:tcPr>
            <w:tcW w:type="dxa" w:w="481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Salvate il file in uno dei formati accettati, ad esempio PDF</w:t>
            </w:r>
          </w:p>
        </w:tc>
      </w:tr>
      <w:tr>
        <w:trPr>
          <w:cantSplit/>
        </w:trPr>
        <w:tc>
          <w:tcPr>
            <w:tcW w:type="dxa" w:w="481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File troppo grande (… MB): il limite è 50 MB</w:t>
            </w:r>
          </w:p>
        </w:tc>
        <w:tc>
          <w:tcPr>
            <w:tcW w:type="dxa" w:w="481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Comprimete il file in ZIP o dividetelo in più parti</w:t>
            </w:r>
          </w:p>
        </w:tc>
      </w:tr>
      <w:tr>
        <w:trPr>
          <w:cantSplit/>
        </w:trPr>
        <w:tc>
          <w:tcPr>
            <w:tcW w:type="dxa" w:w="481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file è vuoto</w:t>
            </w:r>
          </w:p>
        </w:tc>
        <w:tc>
          <w:tcPr>
            <w:tcW w:type="dxa" w:w="481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Controllate di aver scelto il file giusto</w:t>
            </w:r>
          </w:p>
        </w:tc>
      </w:tr>
      <w:tr>
        <w:trPr>
          <w:cantSplit/>
        </w:trPr>
        <w:tc>
          <w:tcPr>
            <w:tcW w:type="dxa" w:w="481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contenuto del file non corrisponde a un file .xxx</w:t>
            </w:r>
          </w:p>
        </w:tc>
        <w:tc>
          <w:tcPr>
            <w:tcW w:type="dxa" w:w="481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file non è del tipo indicato dal nome: riapritelo e salvatelo di nuovo nel formato corretto</w:t>
            </w:r>
          </w:p>
        </w:tc>
      </w:tr>
      <w:tr>
        <w:trPr>
          <w:cantSplit/>
        </w:trPr>
        <w:tc>
          <w:tcPr>
            <w:tcW w:type="dxa" w:w="481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Operazione non consentita (la pratica potrebbe essere sospesa, annullata o chiusa)</w:t>
            </w:r>
          </w:p>
        </w:tc>
        <w:tc>
          <w:tcPr>
            <w:tcW w:type="dxa" w:w="481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Con la pratica non attiva, o nella fase già chiusa, non si caricano documenti: contattate la Fondazione</w:t>
            </w:r>
          </w:p>
        </w:tc>
      </w:tr>
    </w:tbl>
    <w:p>
      <w:pPr>
        <w:spacing w:after="160"/>
      </w:pP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6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6. Rispondere a una richiesta di integrazione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Quando la Fondazione ha bisogno di un documento o di un chiarimento apre una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richiesta di integrazione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ricevete una notifica «Nuova richiesta di integrazione» e la fase passa a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In attesa di integrazione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6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Aprite la pratica e la fase indicata: la richiesta è nel riquadro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Richieste di integrazione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con l'etichetta rossa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In attesa del Cliente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6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Leggete la descrizione.</w:t>
      </w:r>
    </w:p>
    <w:p>
      <w:pPr>
        <w:pStyle w:val="ListParagraph"/>
        <w:numPr>
          <w:ilvl w:val="0"/>
          <w:numId w:val="6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Se volete, scrivete una spiegazione nel campo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Nota per la Fondazione (facoltativa)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6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Premete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Carica integrazione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 scegliete il file. Il documento viene caricato nella fase e la risposta viene registrata in un unico passaggio.</w:t>
      </w:r>
    </w:p>
    <w:p>
      <w:pPr>
        <w:pStyle w:val="ListParagraph"/>
        <w:numPr>
          <w:ilvl w:val="0"/>
          <w:numId w:val="6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L'etichetta diventa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Risposta ricevuta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Quando la Fondazione la accetta, la richiesta diventa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Chiusa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spacing w:after="60"/>
      </w:pP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Avete sbagliato file? Finché la richiesta non è chiusa potete premere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Carica di nuovo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 inviarne un altro.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Quando la fase è chiusa compare la scritta «La fase è chiusa: non è più possibile integrare». Se la pratica è sospesa, annullata, chiusa o ritirata, i pulsanti di risposta non compaiono: contattate la Fondazione.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7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7. Feedback pubblico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Nella fase 3 la Fondazione apre il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feedback pubblico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per un periodo stabilito chiunque può leggere la documentazione e inviare osservazioni. Il periodo dura 30 giorni per il Progetto e 20 giorni per ogni Rapporto di Monitoraggio. All'apertura ricevete la notifica «Aperto il periodo di feedback pubblico». Il riquadro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Feedback pubblico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si trova nel dettaglio della pratica e mostra il periodo, i giorni rimanenti e il documento pubblicato.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Dove si partecipa.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Il feedback pubblico si svolge sulla pagina pubblica del portale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Feedback pubblico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</w:t>
      </w:r>
      <w:hyperlink w:history="1" r:id="rIdaq2ogkltzcj5dnqo5oiys">
        <w:r>
          <w:rPr>
            <w:rFonts w:ascii="Arial" w:cs="Arial" w:eastAsia="Arial" w:hAnsi="Arial"/>
            <w:color w:val="2F5D3A"/>
            <w:sz w:val="21"/>
            <w:szCs w:val="21"/>
            <w:u w:val="single"/>
          </w:rPr>
          <w:t xml:space="preserve">portale-cwp.vercel.app/consultazioni</w:t>
        </w:r>
      </w:hyperlink>
      <w:r>
        <w:rPr>
          <w:rFonts w:ascii="Arial" w:cs="Arial" w:eastAsia="Arial" w:hAnsi="Arial"/>
          <w:color w:val="1B2118"/>
          <w:sz w:val="21"/>
          <w:szCs w:val="21"/>
        </w:rPr>
        <w:t xml:space="preserve">), raggiungibile senza credenziali anche dal link nella pagina di accesso. Chiunque può leggere il documento e inviare un'osservazione: per farla arrivare deve confermare il proprio indirizzo email con il collegamento che riceve. Il link alla pagina pubblica del vostro Progetto o Rapporto compare nel riquadro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Feedback pubblico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potete diffonderlo ai cittadini.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Osservazioni.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La Fondazione modera le osservazioni: voi vedete solo quelle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Pubblicate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o già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Risposte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con il numero (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Osservazione n. 3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), firmate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Partecipante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oppure con il nome, se l'autore ha scelto di pubblicarlo. Se un'osservazione ha un allegato compare il collegamento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Allegato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Quando la Fondazione pubblica una nuova osservazione ricevete la notifica «Nuova osservazione a cui rispondere».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Errata corrige.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Se il documento pubblicato contiene un errore, la Fondazione pubblica un'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errata corrige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(con l'eventuale documento corretto) e ricevete la notifica. In alcuni casi la Fondazione può far ripartire il periodo, con la stessa durata (30 giorni per il Progetto, 20 per il Rapporto): la nuova data di chiusura compare nell'errata corrige.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Rispondere a un'osservazione:</w:t>
      </w:r>
    </w:p>
    <w:p>
      <w:pPr>
        <w:pStyle w:val="ListParagraph"/>
        <w:numPr>
          <w:ilvl w:val="0"/>
          <w:numId w:val="7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Premete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Rispondi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sotto l'osservazione.</w:t>
      </w:r>
    </w:p>
    <w:p>
      <w:pPr>
        <w:pStyle w:val="ListParagraph"/>
        <w:numPr>
          <w:ilvl w:val="0"/>
          <w:numId w:val="7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Scrivete la risposta nel campo «Scrivi la risposta all'osservazione…».</w:t>
      </w:r>
    </w:p>
    <w:p>
      <w:pPr>
        <w:pStyle w:val="ListParagraph"/>
        <w:numPr>
          <w:ilvl w:val="0"/>
          <w:numId w:val="7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Premete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Salva risposta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L'osservazione diventa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Risposto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 la risposta compare sotto il testo.</w:t>
      </w:r>
    </w:p>
    <w:p>
      <w:pPr>
        <w:spacing w:after="60"/>
      </w:pP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Per correggere una risposta premete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Modifica risposta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Si può rispondere anche dopo la chiusura del feedback pubblico, durante la fase 4. Nella fase 4 si carica anche il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Documento riassuntivo delle risultanze del periodo di feedback pubblico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anche se non ci sono state osservazioni.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Se volete inviare anche voi un'osservazione, usate la pagina pubblica come tutti i partecipanti.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8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8. Messaggi con la Fondazione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In ogni pratica, sotto le fasi, la sezione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Messaggi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è una conversazione tra il vostro ente e Fondazione Operate su quella pratica.</w:t>
      </w:r>
    </w:p>
    <w:p>
      <w:pPr>
        <w:pStyle w:val="ListParagraph"/>
        <w:numPr>
          <w:ilvl w:val="0"/>
          <w:numId w:val="8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Scrivete il testo nel campo «Scrivi un messaggio…».</w:t>
      </w:r>
    </w:p>
    <w:p>
      <w:pPr>
        <w:pStyle w:val="ListParagraph"/>
        <w:numPr>
          <w:ilvl w:val="0"/>
          <w:numId w:val="8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Premete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Invia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spacing w:after="60"/>
      </w:pP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 vostri messaggi compaiono a destra; quelli della Fondazione, firmati «Fondazione Operate», a sinistra, con data e ora. A ogni messaggio l'altra parte riceve una notifica nel portale e un'email. I messaggi non si possono modificare né cancellare. Sulle pratiche annullate non si può più scrivere.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9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9. Rapporti di monitoraggio e pagamenti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Ogni anno si presenta un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Rapporto di Monitoraggio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Il numero massimo dipende dal periodo di riferimento del Progetto: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404"/>
        <w:gridCol w:w="4234"/>
      </w:tblGrid>
      <w:tr>
        <w:trPr>
          <w:tblHeader/>
        </w:trPr>
        <w:tc>
          <w:tcPr>
            <w:tcW w:type="dxa" w:w="540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Periodo di riferimento</w:t>
            </w:r>
          </w:p>
        </w:tc>
        <w:tc>
          <w:tcPr>
            <w:tcW w:type="dxa" w:w="423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Rapporti al massimo</w:t>
            </w:r>
          </w:p>
        </w:tc>
      </w:tr>
      <w:tr>
        <w:trPr>
          <w:cantSplit/>
        </w:trPr>
        <w:tc>
          <w:tcPr>
            <w:tcW w:type="dxa" w:w="540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10 anni (una volta)</w:t>
            </w:r>
          </w:p>
        </w:tc>
        <w:tc>
          <w:tcPr>
            <w:tcW w:type="dxa" w:w="423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10</w:t>
            </w:r>
          </w:p>
        </w:tc>
      </w:tr>
      <w:tr>
        <w:trPr>
          <w:cantSplit/>
        </w:trPr>
        <w:tc>
          <w:tcPr>
            <w:tcW w:type="dxa" w:w="540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 anni rinnovabili 3 volte</w:t>
            </w:r>
          </w:p>
        </w:tc>
        <w:tc>
          <w:tcPr>
            <w:tcW w:type="dxa" w:w="423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</w:t>
            </w:r>
          </w:p>
        </w:tc>
      </w:tr>
    </w:tbl>
    <w:p>
      <w:pPr>
        <w:spacing w:after="160"/>
      </w:pP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Ogni Rapporto è una pratica a sé, con i suoi documenti e le stesse 7 fasi del Progetto, compreso il feedback pubblico di 20 giorni (tabella del capitolo 4). Lo crea la Fondazione; la fase 1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Registrazione del rapporto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è già in corso quando il Rapporto nasce. Un Progetto ritirato o annullato non può avere nuovi Rapporti.</w:t>
      </w:r>
    </w:p>
    <w:p>
      <w:pPr>
        <w:pStyle w:val="ListParagraph"/>
        <w:numPr>
          <w:ilvl w:val="0"/>
          <w:numId w:val="9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Aprite il Progetto: in basso trovate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Rapporti di Monitoraggio (N/10)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oppure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(N/21)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9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Fate clic su un Rapporto («Anno N · codice») per aprirlo.</w:t>
      </w:r>
    </w:p>
    <w:p>
      <w:pPr>
        <w:pStyle w:val="ListParagraph"/>
        <w:numPr>
          <w:ilvl w:val="0"/>
          <w:numId w:val="9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Dentro il Rapporto lavorate come in un Progetto: fasi, documenti, integrazioni, feedback pubblico.</w:t>
      </w:r>
    </w:p>
    <w:p>
      <w:pPr>
        <w:pStyle w:val="ListParagraph"/>
        <w:numPr>
          <w:ilvl w:val="0"/>
          <w:numId w:val="9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Per tornare al Progetto premete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← Torna al Progetto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spacing w:after="60"/>
      </w:pP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Il codice del Rapporto è quello del Progetto con l'anno, ad esempio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CWP-2026-0001-RM1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Pagamenti.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In ogni pratica la sezione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Pagamenti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mostra le voci previste dalla Fondazione con importo, scadenza e stato: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Da pagare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Scaduto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o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Pagato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con la data in cui la Fondazione ha registrato il pagamento. Accanto a ogni voce è indicata la voce dello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Schema tariffario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 Programma: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Tariffa di iscrizione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Tariffa di registrazione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Emissione dei crediti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o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Vendita dei crediti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In alto trovate il riepilogo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Totale · pagato · da pagare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La sezione è in sola lettura: i pagamenti si effettuano fuori dal portale, secondo le indicazioni della Fondazione, che poi li registra. Quando la Fondazione aggiunge una voce ricevete una notifica. Fatture e documenti amministrativi, quando caricati dalla Fondazione, si trovano in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 tuoi documenti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Fatture scadute.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Se una voce è scaduta e non è stata pagata, le attività successive sono sospese: la Fondazione non può aprire nuove fasi finché il pagamento non viene registrato. Nel riquadro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Pagamenti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compare un avviso rosso. La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Tariffa di iscrizione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va saldata prima della fase 5 (validazione o verifica).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10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10. Crediti emessi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Nel dettaglio di ogni Rapporto di Monitoraggio il riquadro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Crediti emessi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mostra i crediti di carbonio emessi per quel Rapporto. Il riquadro è in sola lettura.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 crediti si emettono solo dopo la registrazione del Rapporto, cioè quando la fase 6 è completata. Prima compare la scritta «I crediti si emettono dopo la registrazione del Rapporto (seconda verifica documentale completata)». Non si emettono crediti se il Rapporto o il Progetto è sospeso, annullato o ritirato.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Ogni emissione è un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lotto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Per ogni lotto vedete: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il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codice del lotto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il codice del Rapporto con L1, L2…, ad esempio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CWP-2026-0001-RM1-L1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il numero di crediti e la data di emissione;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gli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ID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dei crediti, «da … a …»: ogni credito ha un ID univoco, ad esempio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CWP-2026-0001-RM1-L1-000001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il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registro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su cui il lotto è caricato e da quale data;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lo stato: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da caricare sul registro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attivi N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(disponibili alla vendita),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ritirati M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(cancellati dopo la vendita).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Sotto il lotto compaiono le eventuali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vendite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data, numero di crediti, beneficiario, obiettivo di compensazione e ID. Accanto c'è «Ritirati: cancellazione tombale del …» oppure «In attesa della dichiarazione di cancellazione del registro».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Quando la Fondazione emette un lotto ricevete la notifica «Crediti emessi». Le tariffe di emissione e di vendita compaiono nella sezione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Pagamenti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 Rapporto. I crediti emessi sono visibili anche sulla pagina pubblica del Programma (capitolo 15).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11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11. I tuoi documenti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La pagina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 tuoi documenti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(menu in alto) raccoglie in un solo posto i documenti generali di tutte le vostre pratiche, Progetti e Rapporti: contratto, allegati, documentazione amministrativa e così via. I documenti delle singole fasi restano dentro le fasi.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 documenti sono raggruppati per tipologia, con i nomi ufficiali del Programma (elenco sotto). I file caricati da voi senza tipologia finiscono in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Senza tipologia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Per ogni documento vedete nome, versione, codice della pratica, ente e data, e il pulsante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Scarica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Di norma vedete solo la versione corrente. Per vedere anche le precedenti spuntate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Mostra anche le versioni precedenti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Tipologie di documento.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Modulo di descrizione del progetto; Modulo di descrizione del progetto – versione privata; Documento di proprietà del progetto; Contratto con l'ente di validazione e verifica; Documento riassuntivo delle risultanze del periodo di feedback pubblico; Rapporto di validazione; Modulo di descrizione del rapporto di monitoraggio; Rapporto di verifica; Dichiarazione relativa all'effettività della generazione dei crediti; Modulo di delega di rappresentanza; Modulo di adesione a un progetto; Modulo di recesso da un progetto; Richiesta di ritiro o di rientro del progetto; Prova di attività del progetto; Comunicazione di vendita dei crediti; Dichiarazione di cancellazione tombale dei crediti; Documentazione amministrativa; Rapporto di calcolo dei crediti; Integrazione; Altro. I documenti caricati prima con altre tipologie compaiono in fondo all'elenco.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Modelli da scaricare.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Se la Fondazione ha pubblicato modelli generali (moduli, fac-simile), li trovate in questa pagina con il pulsante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Scarica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I modelli che riguardano una fase precisa compaiono invece dentro quella fase, nella pratica.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In fondo alla pagina, nel riquadro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Manuale del portale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aprite e scaricate questo manuale in PDF.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Da questa pagina non si caricano documenti: per caricare usate la pratica (capitolo 5).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12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12. Notifiche ed email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Il portale vi avvisa degli eventi delle vostre pratiche con la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campanella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in alto e con un'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email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all'indirizzo con cui accedete.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Il numero rosso sulla campanella indica le notifiche non lette.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Fate clic sulla campanella per vedere l'elenco. Fate clic su una notifica per aprire direttamente la pratica: la notifica diventa letta.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Segna tutte come lette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azzera il contatore.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Ogni email ha il pulsante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Apri nel portale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che porta alla pratica.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640"/>
        <w:gridCol w:w="4998"/>
      </w:tblGrid>
      <w:tr>
        <w:trPr>
          <w:tblHeader/>
        </w:trPr>
        <w:tc>
          <w:tcPr>
            <w:tcW w:type="dxa" w:w="46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Notifica</w:t>
            </w:r>
          </w:p>
        </w:tc>
        <w:tc>
          <w:tcPr>
            <w:tcW w:type="dxa" w:w="499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Quando arriva</w:t>
            </w:r>
          </w:p>
        </w:tc>
      </w:tr>
      <w:tr>
        <w:trPr>
          <w:cantSplit/>
        </w:trPr>
        <w:tc>
          <w:tcPr>
            <w:tcW w:type="dxa" w:w="46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Aperta la fase «…» — scadenza …</w:t>
            </w:r>
          </w:p>
        </w:tc>
        <w:tc>
          <w:tcPr>
            <w:tcW w:type="dxa" w:w="499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Fondazione apre una fase</w:t>
            </w:r>
          </w:p>
        </w:tc>
      </w:tr>
      <w:tr>
        <w:trPr>
          <w:cantSplit/>
        </w:trPr>
        <w:tc>
          <w:tcPr>
            <w:tcW w:type="dxa" w:w="46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Completata la fase «…»</w:t>
            </w:r>
          </w:p>
        </w:tc>
        <w:tc>
          <w:tcPr>
            <w:tcW w:type="dxa" w:w="499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Fondazione chiude una fase</w:t>
            </w:r>
          </w:p>
        </w:tc>
      </w:tr>
      <w:tr>
        <w:trPr>
          <w:cantSplit/>
        </w:trPr>
        <w:tc>
          <w:tcPr>
            <w:tcW w:type="dxa" w:w="46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Avviata la verifica sull'accuratezza nella fase «…» — nuova scadenza …</w:t>
            </w:r>
          </w:p>
        </w:tc>
        <w:tc>
          <w:tcPr>
            <w:tcW w:type="dxa" w:w="499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Fondazione avvia la verifica sull'accuratezza (fasi 2 e 6)</w:t>
            </w:r>
          </w:p>
        </w:tc>
      </w:tr>
      <w:tr>
        <w:trPr>
          <w:cantSplit/>
        </w:trPr>
        <w:tc>
          <w:tcPr>
            <w:tcW w:type="dxa" w:w="46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Ulteriore accertamento (n. …) nella fase «…» — nuova scadenza …</w:t>
            </w:r>
          </w:p>
        </w:tc>
        <w:tc>
          <w:tcPr>
            <w:tcW w:type="dxa" w:w="499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Fondazione chiede un ulteriore accertamento</w:t>
            </w:r>
          </w:p>
        </w:tc>
      </w:tr>
      <w:tr>
        <w:trPr>
          <w:cantSplit/>
        </w:trPr>
        <w:tc>
          <w:tcPr>
            <w:tcW w:type="dxa" w:w="46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Nuova richiesta di integrazione</w:t>
            </w:r>
          </w:p>
        </w:tc>
        <w:tc>
          <w:tcPr>
            <w:tcW w:type="dxa" w:w="499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Vi viene chiesto un documento o un chiarimento</w:t>
            </w:r>
          </w:p>
        </w:tc>
      </w:tr>
      <w:tr>
        <w:trPr>
          <w:cantSplit/>
        </w:trPr>
        <w:tc>
          <w:tcPr>
            <w:tcW w:type="dxa" w:w="46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Nuovo documento disponibile</w:t>
            </w:r>
          </w:p>
        </w:tc>
        <w:tc>
          <w:tcPr>
            <w:tcW w:type="dxa" w:w="499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Fondazione carica un documento visibile a voi</w:t>
            </w:r>
          </w:p>
        </w:tc>
      </w:tr>
      <w:tr>
        <w:trPr>
          <w:cantSplit/>
        </w:trPr>
        <w:tc>
          <w:tcPr>
            <w:tcW w:type="dxa" w:w="46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Aperto il periodo di feedback pubblico — fino al …</w:t>
            </w:r>
          </w:p>
        </w:tc>
        <w:tc>
          <w:tcPr>
            <w:tcW w:type="dxa" w:w="499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Inizia il feedback pubblico sul vostro Progetto o Rapporto</w:t>
            </w:r>
          </w:p>
        </w:tc>
      </w:tr>
      <w:tr>
        <w:trPr>
          <w:cantSplit/>
        </w:trPr>
        <w:tc>
          <w:tcPr>
            <w:tcW w:type="dxa" w:w="46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Nuova osservazione a cui rispondere</w:t>
            </w:r>
          </w:p>
        </w:tc>
        <w:tc>
          <w:tcPr>
            <w:tcW w:type="dxa" w:w="499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Fondazione pubblica un'osservazione del feedback pubblico</w:t>
            </w:r>
          </w:p>
        </w:tc>
      </w:tr>
      <w:tr>
        <w:trPr>
          <w:cantSplit/>
        </w:trPr>
        <w:tc>
          <w:tcPr>
            <w:tcW w:type="dxa" w:w="46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Errata corrige pubblicata nel feedback pubblico</w:t>
            </w:r>
          </w:p>
        </w:tc>
        <w:tc>
          <w:tcPr>
            <w:tcW w:type="dxa" w:w="499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Fondazione corregge il documento pubblicato</w:t>
            </w:r>
          </w:p>
        </w:tc>
      </w:tr>
      <w:tr>
        <w:trPr>
          <w:cantSplit/>
        </w:trPr>
        <w:tc>
          <w:tcPr>
            <w:tcW w:type="dxa" w:w="46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Scadenza vicina: «fase» (data)</w:t>
            </w:r>
          </w:p>
        </w:tc>
        <w:tc>
          <w:tcPr>
            <w:tcW w:type="dxa" w:w="499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Mancano 3 giorni o meno alla scadenza di una fase</w:t>
            </w:r>
          </w:p>
        </w:tc>
      </w:tr>
      <w:tr>
        <w:trPr>
          <w:cantSplit/>
        </w:trPr>
        <w:tc>
          <w:tcPr>
            <w:tcW w:type="dxa" w:w="46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Fase scaduta: «fase»</w:t>
            </w:r>
          </w:p>
        </w:tc>
        <w:tc>
          <w:tcPr>
            <w:tcW w:type="dxa" w:w="499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scadenza è passata</w:t>
            </w:r>
          </w:p>
        </w:tc>
      </w:tr>
      <w:tr>
        <w:trPr>
          <w:cantSplit/>
        </w:trPr>
        <w:tc>
          <w:tcPr>
            <w:tcW w:type="dxa" w:w="46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Pratica sospesa, riattivata, annullata o chiusa</w:t>
            </w:r>
          </w:p>
        </w:tc>
        <w:tc>
          <w:tcPr>
            <w:tcW w:type="dxa" w:w="499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Cambia lo stato della pratica, con la motivazione</w:t>
            </w:r>
          </w:p>
        </w:tc>
      </w:tr>
      <w:tr>
        <w:trPr>
          <w:cantSplit/>
        </w:trPr>
        <w:tc>
          <w:tcPr>
            <w:tcW w:type="dxa" w:w="46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Progetto ritirato dal Programma / Progetto rientrato nel Programma</w:t>
            </w:r>
          </w:p>
        </w:tc>
        <w:tc>
          <w:tcPr>
            <w:tcW w:type="dxa" w:w="499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Fondazione registra il ritiro o il rientro del Progetto</w:t>
            </w:r>
          </w:p>
        </w:tc>
      </w:tr>
      <w:tr>
        <w:trPr>
          <w:cantSplit/>
        </w:trPr>
        <w:tc>
          <w:tcPr>
            <w:tcW w:type="dxa" w:w="46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Nuovo messaggio dalla Fondazione</w:t>
            </w:r>
          </w:p>
        </w:tc>
        <w:tc>
          <w:tcPr>
            <w:tcW w:type="dxa" w:w="499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Fondazione vi scrive nella sezione Messaggi</w:t>
            </w:r>
          </w:p>
        </w:tc>
      </w:tr>
      <w:tr>
        <w:trPr>
          <w:cantSplit/>
        </w:trPr>
        <w:tc>
          <w:tcPr>
            <w:tcW w:type="dxa" w:w="46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Nuova nota della Fondazione</w:t>
            </w:r>
          </w:p>
        </w:tc>
        <w:tc>
          <w:tcPr>
            <w:tcW w:type="dxa" w:w="499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Fondazione lascia una nota su una fase</w:t>
            </w:r>
          </w:p>
        </w:tc>
      </w:tr>
      <w:tr>
        <w:trPr>
          <w:cantSplit/>
        </w:trPr>
        <w:tc>
          <w:tcPr>
            <w:tcW w:type="dxa" w:w="46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Nuova voce di pagamento</w:t>
            </w:r>
          </w:p>
        </w:tc>
        <w:tc>
          <w:tcPr>
            <w:tcW w:type="dxa" w:w="499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Fondazione registra una voce di pagamento</w:t>
            </w:r>
          </w:p>
        </w:tc>
      </w:tr>
      <w:tr>
        <w:trPr>
          <w:cantSplit/>
        </w:trPr>
        <w:tc>
          <w:tcPr>
            <w:tcW w:type="dxa" w:w="46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Crediti emessi: N (codice del lotto)</w:t>
            </w:r>
          </w:p>
        </w:tc>
        <w:tc>
          <w:tcPr>
            <w:tcW w:type="dxa" w:w="499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Fondazione emette crediti per un vostro Rapporto</w:t>
            </w:r>
          </w:p>
        </w:tc>
      </w:tr>
      <w:tr>
        <w:trPr>
          <w:cantSplit/>
        </w:trPr>
        <w:tc>
          <w:tcPr>
            <w:tcW w:type="dxa" w:w="46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Risposta a REC-… / CHI-…</w:t>
            </w:r>
          </w:p>
        </w:tc>
        <w:tc>
          <w:tcPr>
            <w:tcW w:type="dxa" w:w="499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Fondazione risponde a un vostro reclamo o richiesta di chiarimento</w:t>
            </w:r>
          </w:p>
        </w:tc>
      </w:tr>
    </w:tbl>
    <w:p>
      <w:pPr>
        <w:spacing w:after="160"/>
      </w:pP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Le email partono da un indirizzo automatico: non rispondete all'email, scrivete alla Fondazione nella sezione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Messaggi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della pratica.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13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13. Dati per il calcolo dei crediti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 dati per il calcolo dei crediti si inviano con un unico modello Excel, il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Tracciato dati CWP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uguale per tutti gli enti. Il modello si scarica dalla pagina pubblica </w:t>
      </w:r>
      <w:hyperlink w:history="1" r:id="rIdiiciykvd4evoyzlvmh8if">
        <w:r>
          <w:rPr>
            <w:rFonts w:ascii="Arial" w:cs="Arial" w:eastAsia="Arial" w:hAnsi="Arial"/>
            <w:color w:val="2F5D3A"/>
            <w:sz w:val="21"/>
            <w:szCs w:val="21"/>
            <w:u w:val="single"/>
          </w:rPr>
          <w:t xml:space="preserve">Formato dei dati</w:t>
        </w:r>
      </w:hyperlink>
      <w:r>
        <w:rPr>
          <w:rFonts w:ascii="Arial" w:cs="Arial" w:eastAsia="Arial" w:hAnsi="Arial"/>
          <w:color w:val="1B2118"/>
          <w:sz w:val="21"/>
          <w:szCs w:val="21"/>
        </w:rPr>
        <w:t xml:space="preserve">, raggiungibile anche dal link nella pagina di accesso e dalla voce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Formato dati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 menu.</w:t>
      </w:r>
    </w:p>
    <w:p>
      <w:pPr>
        <w:pStyle w:val="ListParagraph"/>
        <w:numPr>
          <w:ilvl w:val="0"/>
          <w:numId w:val="10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Scaricate il file con il pulsante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Scarica il tracciato dati (Excel)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10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Leggete il foglio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Istruzioni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per ogni foglio c'è la descrizione delle colonne e una riga di esempio.</w:t>
      </w:r>
    </w:p>
    <w:p>
      <w:pPr>
        <w:pStyle w:val="ListParagraph"/>
        <w:numPr>
          <w:ilvl w:val="0"/>
          <w:numId w:val="10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Compilate le celle gialle del foglio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1_Anagrafica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10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Compilate i fogli da 2 a 7 partendo dalla riga 2, senza modificare le intestazioni. Nelle colonne con il menu a tendina scegliete i codici del foglio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Codici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10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Per i dati delle utenze compilate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uno solo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tra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5_Conferimenti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(totali dell'anno per utenza) 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6_Letture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(singoli svuotamenti, se il vostro sistema esporta questi).</w:t>
      </w:r>
    </w:p>
    <w:p>
      <w:pPr>
        <w:pStyle w:val="ListParagraph"/>
        <w:numPr>
          <w:ilvl w:val="0"/>
          <w:numId w:val="10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Caricate il file nella vostra pratica, tra i documenti, come descritto al capitolo 5. La Fondazione lo legge direttamente dal portale: non serve inviarlo per email.</w:t>
      </w:r>
    </w:p>
    <w:p>
      <w:pPr>
        <w:spacing w:after="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135"/>
        <w:gridCol w:w="4294"/>
        <w:gridCol w:w="2209"/>
      </w:tblGrid>
      <w:tr>
        <w:trPr>
          <w:tblHeader/>
        </w:trPr>
        <w:tc>
          <w:tcPr>
            <w:tcW w:type="dxa" w:w="313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Foglio</w:t>
            </w:r>
          </w:p>
        </w:tc>
        <w:tc>
          <w:tcPr>
            <w:tcW w:type="dxa" w:w="42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Dati</w:t>
            </w:r>
          </w:p>
        </w:tc>
        <w:tc>
          <w:tcPr>
            <w:tcW w:type="dxa" w:w="22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Chi li fornisce di solito</w:t>
            </w:r>
          </w:p>
        </w:tc>
      </w:tr>
      <w:tr>
        <w:trPr>
          <w:cantSplit/>
        </w:trPr>
        <w:tc>
          <w:tcPr>
            <w:tcW w:type="dxa" w:w="313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1_Anagrafica</w:t>
            </w:r>
          </w:p>
        </w:tc>
        <w:tc>
          <w:tcPr>
            <w:tcW w:type="dxa" w:w="42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Ente, anno, gestore, tariffa puntuale, ripartizione PEF</w:t>
            </w:r>
          </w:p>
        </w:tc>
        <w:tc>
          <w:tcPr>
            <w:tcW w:type="dxa" w:w="22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Comune</w:t>
            </w:r>
          </w:p>
        </w:tc>
      </w:tr>
      <w:tr>
        <w:trPr>
          <w:cantSplit/>
        </w:trPr>
        <w:tc>
          <w:tcPr>
            <w:tcW w:type="dxa" w:w="313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2_Rifiuti</w:t>
            </w:r>
          </w:p>
        </w:tc>
        <w:tc>
          <w:tcPr>
            <w:tcW w:type="dxa" w:w="42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Tonnellate per codice EER (Catasto ISPRA, MUD, O.R.So.)</w:t>
            </w:r>
          </w:p>
        </w:tc>
        <w:tc>
          <w:tcPr>
            <w:tcW w:type="dxa" w:w="22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Comune o gestore</w:t>
            </w:r>
          </w:p>
        </w:tc>
      </w:tr>
      <w:tr>
        <w:trPr>
          <w:cantSplit/>
        </w:trPr>
        <w:tc>
          <w:tcPr>
            <w:tcW w:type="dxa" w:w="313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3_Classi_domestiche</w:t>
            </w:r>
          </w:p>
        </w:tc>
        <w:tc>
          <w:tcPr>
            <w:tcW w:type="dxa" w:w="42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Classi, numero di utenze, coefficiente Kb</w:t>
            </w:r>
          </w:p>
        </w:tc>
        <w:tc>
          <w:tcPr>
            <w:tcW w:type="dxa" w:w="22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Comune (delibera TARI)</w:t>
            </w:r>
          </w:p>
        </w:tc>
      </w:tr>
      <w:tr>
        <w:trPr>
          <w:cantSplit/>
        </w:trPr>
        <w:tc>
          <w:tcPr>
            <w:tcW w:type="dxa" w:w="313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4_Classi_non_domestiche</w:t>
            </w:r>
          </w:p>
        </w:tc>
        <w:tc>
          <w:tcPr>
            <w:tcW w:type="dxa" w:w="42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Categorie, numero, superficie, coefficiente Kd</w:t>
            </w:r>
          </w:p>
        </w:tc>
        <w:tc>
          <w:tcPr>
            <w:tcW w:type="dxa" w:w="22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Comune (delibera TARI)</w:t>
            </w:r>
          </w:p>
        </w:tc>
      </w:tr>
      <w:tr>
        <w:trPr>
          <w:cantSplit/>
        </w:trPr>
        <w:tc>
          <w:tcPr>
            <w:tcW w:type="dxa" w:w="313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5_Conferimenti</w:t>
            </w:r>
          </w:p>
        </w:tc>
        <w:tc>
          <w:tcPr>
            <w:tcW w:type="dxa" w:w="42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Totali annui per utenza e tipo di rifiuto</w:t>
            </w:r>
          </w:p>
        </w:tc>
        <w:tc>
          <w:tcPr>
            <w:tcW w:type="dxa" w:w="22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Gestore</w:t>
            </w:r>
          </w:p>
        </w:tc>
      </w:tr>
      <w:tr>
        <w:trPr>
          <w:cantSplit/>
        </w:trPr>
        <w:tc>
          <w:tcPr>
            <w:tcW w:type="dxa" w:w="313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6_Letture</w:t>
            </w:r>
          </w:p>
        </w:tc>
        <w:tc>
          <w:tcPr>
            <w:tcW w:type="dxa" w:w="42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In alternativa al 5: le singole letture</w:t>
            </w:r>
          </w:p>
        </w:tc>
        <w:tc>
          <w:tcPr>
            <w:tcW w:type="dxa" w:w="22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Gestore</w:t>
            </w:r>
          </w:p>
        </w:tc>
      </w:tr>
      <w:tr>
        <w:trPr>
          <w:cantSplit/>
        </w:trPr>
        <w:tc>
          <w:tcPr>
            <w:tcW w:type="dxa" w:w="313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7_Riuso</w:t>
            </w:r>
          </w:p>
        </w:tc>
        <w:tc>
          <w:tcPr>
            <w:tcW w:type="dxa" w:w="42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Beni portati al centro del riuso</w:t>
            </w:r>
          </w:p>
        </w:tc>
        <w:tc>
          <w:tcPr>
            <w:tcW w:type="dxa" w:w="22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Gestore o centro del riuso</w:t>
            </w:r>
          </w:p>
        </w:tc>
      </w:tr>
    </w:tbl>
    <w:p>
      <w:pPr>
        <w:spacing w:after="160"/>
      </w:pP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Protezione dei dati personali.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Il file non deve contenere nomi, indirizzi, codici fiscali, partite IVA, email o telefoni delle utenze: il portale lo controlla e, se li trova, la Fondazione non può usarlo e vi chiederà un file corretto. Ogni utenza si indica con un codice anonimo, sempre lo stesso negli anni. La tabella che collega codici e persone resta al Comune o al gestore.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File molto grandi.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Oltre 50 MB o oltre 1 milione di righe: salvate ogni foglio come file CSV con le stesse intestazioni (ad esempio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6_Letture.csv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), raccoglieteli in un archivio ZIP e caricate lo ZIP.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Simulazione dei crediti.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La Fondazione può preparare per il vostro Comune uno o più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scenari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su 7, 10 o 21 anni. Partendo dai dati di raccolta attuali e dagli obiettivi che indicate per ogni anno (produzione di rifiuti totale e pro capite, secco residuo pro capite), il simulatore calcola la percentuale di raccolta differenziata 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stima i crediti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che il Comune potrebbe generare anno per anno. Lo scenario comprende anche una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stima economica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ricavi dalla vendita dei crediti (con il valore del credito anno per anno) e costi a carico del Comune secondo le tabelle della Fondazione per progetti volontari (Caso 1) o obbligatori da bando di gara (Caso 2). Chiedetelo alla Fondazione: oggi gli scenari li vede solo lo staff. È una stima a scopo di pianificazione: i crediti veri si calcolano a consuntivo, con i dati del tracciato.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14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14. Reclami e richieste di chiarimento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La voce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Reclami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 menu apre la pagina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Reclami e richieste di chiarimento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secondo la Politica di reclamo del Programma. Potete scrivere in qualsiasi momento: ricevete una conferma e poi una risposta scritta. Qui si trattano soprattutto l'interpretazione delle regole e dei criteri del Programma. Per una questione con un ente di validazione e verifica o con un registro, rivolgetevi prima a loro.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Inviare un reclamo o una richiesta:</w:t>
      </w:r>
    </w:p>
    <w:p>
      <w:pPr>
        <w:pStyle w:val="ListParagraph"/>
        <w:numPr>
          <w:ilvl w:val="0"/>
          <w:numId w:val="11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Nel riquadro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Nuovo invio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scegliete il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Tipo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Richiesta di chiarimento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oppure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Reclamo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11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Se riguarda un vostro Progetto, sceglietelo in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Progetto (facoltativo)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11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Scrivete l'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Oggetto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 i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Dettagli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(almeno 10 caratteri).</w:t>
      </w:r>
    </w:p>
    <w:p>
      <w:pPr>
        <w:pStyle w:val="ListParagraph"/>
        <w:numPr>
          <w:ilvl w:val="0"/>
          <w:numId w:val="11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Compilate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Dichiarazione di eventuali conflitti di interesse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(ad esempio «nessuno»).</w:t>
      </w:r>
    </w:p>
    <w:p>
      <w:pPr>
        <w:pStyle w:val="ListParagraph"/>
        <w:numPr>
          <w:ilvl w:val="0"/>
          <w:numId w:val="11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Premete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Invia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Compare il codice assegnato: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CHI-AAAA-NNN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per le richieste di chiarimento,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REC-AAAA-NNN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per i reclami.</w:t>
      </w:r>
    </w:p>
    <w:p>
      <w:pPr>
        <w:spacing w:after="60"/>
      </w:pP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Nel riquadro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 miei invii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trovate ogni invio con codice, oggetto, data e stato: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ricevuto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in esame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risposto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o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chiuso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Quando arriva la risposta compare sotto l'invio, con la data, e ricevete la notifica «Risposta a …». Le spese per la gestione di un reclamo sono a carico di chi lo presenta, che ne viene informato; non si pagano se l'azione contestata viene annullata. Gli eventuali costi compaiono sotto l'invio.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868"/>
        <w:gridCol w:w="4770"/>
      </w:tblGrid>
      <w:tr>
        <w:trPr>
          <w:tblHeader/>
        </w:trPr>
        <w:tc>
          <w:tcPr>
            <w:tcW w:type="dxa" w:w="486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Messaggio</w:t>
            </w:r>
          </w:p>
        </w:tc>
        <w:tc>
          <w:tcPr>
            <w:tcW w:type="dxa" w:w="477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Cosa fare</w:t>
            </w:r>
          </w:p>
        </w:tc>
      </w:tr>
      <w:tr>
        <w:trPr>
          <w:cantSplit/>
        </w:trPr>
        <w:tc>
          <w:tcPr>
            <w:tcW w:type="dxa" w:w="486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Indica l'oggetto.</w:t>
            </w:r>
          </w:p>
        </w:tc>
        <w:tc>
          <w:tcPr>
            <w:tcW w:type="dxa" w:w="477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Scrivete un oggetto di almeno 3 caratteri</w:t>
            </w:r>
          </w:p>
        </w:tc>
      </w:tr>
      <w:tr>
        <w:trPr>
          <w:cantSplit/>
        </w:trPr>
        <w:tc>
          <w:tcPr>
            <w:tcW w:type="dxa" w:w="486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Descrivi la questione (almeno 10 caratteri).</w:t>
            </w:r>
          </w:p>
        </w:tc>
        <w:tc>
          <w:tcPr>
            <w:tcW w:type="dxa" w:w="477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Aggiungete più dettagli</w:t>
            </w:r>
          </w:p>
        </w:tc>
      </w:tr>
    </w:tbl>
    <w:p>
      <w:pPr>
        <w:spacing w:after="160"/>
      </w:pP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Si può presentare un reclamo anche per iscritto alla PEC indicata nella pagina pubblica del Programma (capitolo 15).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15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15. La pagina pubblica del Programma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La pagina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Il Programma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</w:t>
      </w:r>
      <w:hyperlink w:history="1" r:id="rId44z25meqmjkgy910bdqve">
        <w:r>
          <w:rPr>
            <w:rFonts w:ascii="Arial" w:cs="Arial" w:eastAsia="Arial" w:hAnsi="Arial"/>
            <w:color w:val="2F5D3A"/>
            <w:sz w:val="21"/>
            <w:szCs w:val="21"/>
            <w:u w:val="single"/>
          </w:rPr>
          <w:t xml:space="preserve">portale-cwp.vercel.app/programma</w:t>
        </w:r>
      </w:hyperlink>
      <w:r>
        <w:rPr>
          <w:rFonts w:ascii="Arial" w:cs="Arial" w:eastAsia="Arial" w:hAnsi="Arial"/>
          <w:color w:val="1B2118"/>
          <w:sz w:val="21"/>
          <w:szCs w:val="21"/>
        </w:rPr>
        <w:t xml:space="preserve">) è pubblica: chiunque la apre senza credenziali. Si raggiunge dalla voce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Il Programma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 menu, dal link nella pagina di accesso e dall'intestazione delle pagine pubbliche.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La pagina contiene: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Il Programma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soggetto promotore del programma, PEC, email, sito ufficiale e il collegamento ai periodi di feedback pubblico aperti;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gli elenchi degli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Enti di validazione e verifica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dei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Registri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 delle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Metodologie approvate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Documenti del Programma e modulistica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da scaricare;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Progetti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dal momento in cui sono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in fase di validazione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anche quelli ritirati. Per ogni Progetto: ID, promotore, titolo e stato nel Programma. Con un clic si aprono gli altri promotori, il territorio (codici ISTAT), il periodo di riferimento, la data di registrazione, i documenti pubblici e i Rapporti di Monitoraggio con stato, documenti e crediti emessi (lotti con ID da … a …, registro, attivi e ritirati);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come presentare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reclami e richieste di chiarimento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Anche il vostro Progetto compare qui da quando è in fase di validazione. Sono pubblicati solo i documenti pubblici: il Contratto con l'ente e la versione privata del Modulo di descrizione del progetto non lo sono mai.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16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16. L'assistente virtuale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In basso a destra di ogni pagina trovate il pulsante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✦ Assistente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apre una chat con un assistente basato su intelligenza artificiale (Claude) che risponde alle domande sul portale e sul Programma, per esempio come caricare un documento, cosa fare con una richiesta di integrazione o quanto costa una voce del Programma.</w:t>
      </w:r>
    </w:p>
    <w:p>
      <w:pPr>
        <w:pStyle w:val="ListParagraph"/>
        <w:numPr>
          <w:ilvl w:val="0"/>
          <w:numId w:val="1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Premete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✦ Assistente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1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Scrivete la domanda, oppure scegliete uno degli esempi, e premete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Invio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Mentre prepara la risposta compare «Un attimo…»: di solito bastano pochi secondi.</w:t>
      </w:r>
    </w:p>
    <w:p>
      <w:pPr>
        <w:pStyle w:val="ListParagraph"/>
        <w:numPr>
          <w:ilvl w:val="0"/>
          <w:numId w:val="1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Con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Nuova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ricominciate da capo; con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✕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chiudete la finestra.</w:t>
      </w:r>
    </w:p>
    <w:p>
      <w:pPr>
        <w:spacing w:after="60"/>
      </w:pP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L'assistente risponde solo con le informazioni di questo manuale e delle tariffe del Programma;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non vede le vostre pratiche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 non fa operazioni al posto vostro. Le risposte possono contenere errori: in caso di dubbio vale il manuale, oppure scrivete a Fondazione Operate con i Messaggi della pratica. Le domande e le risposte non vengono salvate; c'è un limite di domande al giorno.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17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17. Domande frequenti</w:t>
      </w:r>
      <w:bookmarkEnd w:id="1"/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Ho dimenticato la password.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Usate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Password dimenticata?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nella pagina di accesso (capitolo 2). In alternativa Fondazione Operate può assegnarvi una password temporanea, che al primo accesso vi verrà chiesto di sostituire.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Non vedo la mia pratica.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La pratica compare quando la Fondazione registra il Progetto e lo collega alla vostra organizzazione. Se seguite più enti, controllate di essere stati associati a tutti.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Il caricamento non riesce.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Leggete il messaggio sotto il riquadro e consultate la tabella del capitolo 5. Se la pratica è sospesa, annullata, chiusa o ritirata non si possono caricare documenti.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Ho caricato il file sbagliato.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Caricate il file corretto con lo stesso nome: diventa la versione corrente. I documenti non si cancellano, così resta traccia di tutte le versioni.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La pratica è ferma e la fase successiva non si apre.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Controllate la sezione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Pagamenti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con una voce scaduta e non pagata le attività sono sospese fino al saldo (capitolo 9).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Un collega deve avere l'account al posto mio.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Ogni Organizzazione ha un solo account attivo, quello del rappresentante autorizzato. Chiedete alla Fondazione di disattivare il vostro account e di crearne uno nuovo per il collega (capitolo 1).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Non ricevo le email.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Controllate la cartella della posta indesiderata. Le notifiche restano comunque disponibili nella campanella del portale.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Il link dell'email apre la pagina di accesso.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Accedete con le vostre credenziali: subito dopo si apre la pratica indicata nell'email.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Come scrivo alla Fondazione?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Usate la sezione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Messaggi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della pratica (capitolo 8). Per reclami e richieste di chiarimento sul Programma usate la pagina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Reclami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(capitolo 14). Restano validi anche i canali abituali della Fondazione (email e telefono).</w:t>
      </w:r>
    </w:p>
    <w:sectPr>
      <w:headerReference w:type="default" r:id="rId9"/>
      <w:footerReference w:type="default" r:id="rId10"/>
      <w:pgSz w:w="11906" w:h="16838" w:orient="portrait"/>
      <w:pgMar w:top="1134" w:right="1134" w:bottom="1134" w:left="1134" w:header="567" w:footer="567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9D4C5" w:sz="4" w:space="4"/>
      </w:pBdr>
      <w:tabs>
        <w:tab w:val="right" w:pos="9638"/>
      </w:tabs>
    </w:pPr>
    <w:r>
      <w:rPr>
        <w:rFonts w:ascii="Arial" w:cs="Arial" w:eastAsia="Arial" w:hAnsi="Arial"/>
        <w:color w:val="5A5E54"/>
        <w:sz w:val="16"/>
        <w:szCs w:val="16"/>
      </w:rPr>
      <w:t xml:space="preserve">Fondazione Operate · Programma Carbon WastePrint®</w:t>
    </w:r>
    <w:r>
      <w:rPr>
        <w:rFonts w:ascii="Arial" w:cs="Arial" w:eastAsia="Arial" w:hAnsi="Arial"/>
        <w:color w:val="5A5E54"/>
        <w:sz w:val="16"/>
        <w:szCs w:val="16"/>
      </w:rPr>
      <w:tab/>
      <w:t xml:space="preserve">Pagina </w:t>
      <w:fldChar w:fldCharType="begin"/>
      <w:instrText xml:space="preserve">PAGE</w:instrText>
      <w:fldChar w:fldCharType="separate"/>
      <w:fldChar w:fldCharType="end"/>
      <w:t xml:space="preserve"> di </w:t>
      <w:fldChar w:fldCharType="begin"/>
      <w:instrText xml:space="preserve">NUMPAGES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9D4C5" w:sz="4" w:space="4"/>
      </w:pBdr>
      <w:tabs>
        <w:tab w:val="right" w:pos="9638"/>
      </w:tabs>
    </w:pPr>
    <w:r>
      <w:rPr>
        <w:rFonts w:ascii="Arial" w:cs="Arial" w:eastAsia="Arial" w:hAnsi="Arial"/>
        <w:color w:val="5A5E54"/>
        <w:sz w:val="16"/>
        <w:szCs w:val="16"/>
      </w:rPr>
      <w:t xml:space="preserve">Fondazione Operate · Programma Carbon WastePrint®</w:t>
    </w:r>
    <w:r>
      <w:rPr>
        <w:rFonts w:ascii="Arial" w:cs="Arial" w:eastAsia="Arial" w:hAnsi="Arial"/>
        <w:color w:val="5A5E54"/>
        <w:sz w:val="16"/>
        <w:szCs w:val="16"/>
      </w:rPr>
      <w:tab/>
      <w:t xml:space="preserve">Pagina </w:t>
      <w:fldChar w:fldCharType="begin"/>
      <w:instrText xml:space="preserve">PAGE</w:instrText>
      <w:fldChar w:fldCharType="separate"/>
      <w:fldChar w:fldCharType="end"/>
      <w:t xml:space="preserve"> di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9D4C5" w:sz="4" w:space="4"/>
      </w:pBdr>
      <w:tabs>
        <w:tab w:val="right" w:pos="9638"/>
      </w:tabs>
    </w:pPr>
    <w:r>
      <w:drawing>
        <wp:inline distT="0" distB="0" distL="0" distR="0">
          <wp:extent cx="552450" cy="342900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52450" cy="3429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ascii="Arial" w:cs="Arial" w:eastAsia="Arial" w:hAnsi="Arial"/>
        <w:color w:val="5A5E54"/>
        <w:sz w:val="16"/>
        <w:szCs w:val="16"/>
      </w:rPr>
      <w:tab/>
      <w:t xml:space="preserve">Manuale Utente · Rev. 2.7 · 19/10/2026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9D4C5" w:sz="4" w:space="4"/>
      </w:pBdr>
      <w:tabs>
        <w:tab w:val="right" w:pos="9638"/>
      </w:tabs>
    </w:pPr>
    <w:r>
      <w:drawing>
        <wp:inline distT="0" distB="0" distL="0" distR="0">
          <wp:extent cx="552450" cy="342900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52450" cy="3429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ascii="Arial" w:cs="Arial" w:eastAsia="Arial" w:hAnsi="Arial"/>
        <w:color w:val="5A5E54"/>
        <w:sz w:val="16"/>
        <w:szCs w:val="16"/>
      </w:rPr>
      <w:tab/>
      <w:t xml:space="preserve">Manuale Utente · Rev. 2.7 · 19/10/2026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  <w:rPr>
        <w:color w:val="2F5D3A"/>
      </w:rPr>
    </w:lvl>
    <w:lvl w:ilvl="1" w15:tentative="1">
      <w:start w:val="1"/>
      <w:numFmt w:val="bullet"/>
      <w:lvlText w:val="–"/>
      <w:lvlJc w:val="left"/>
      <w:pPr>
        <w:ind w:left="1000" w:hanging="270"/>
      </w:pPr>
      <w:rPr>
        <w:color w:val="2F5D3A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  <w:rPr>
        <w:b/>
        <w:bCs/>
        <w:color w:val="2F5D3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  <w:num w:numId="6">
    <w:abstractNumId w:val="3"/>
    <w:lvlOverride w:ilvl="0">
      <w:startOverride w:val="1"/>
    </w:lvlOverride>
  </w:num>
  <w:num w:numId="7">
    <w:abstractNumId w:val="3"/>
    <w:lvlOverride w:ilvl="0">
      <w:startOverride w:val="1"/>
    </w:lvlOverride>
  </w:num>
  <w:num w:numId="8">
    <w:abstractNumId w:val="3"/>
    <w:lvlOverride w:ilvl="0">
      <w:startOverride w:val="1"/>
    </w:lvlOverride>
  </w:num>
  <w:num w:numId="9">
    <w:abstractNumId w:val="3"/>
    <w:lvlOverride w:ilvl="0">
      <w:startOverride w:val="1"/>
    </w:lvlOverride>
  </w:num>
  <w:num w:numId="10">
    <w:abstractNumId w:val="3"/>
    <w:lvlOverride w:ilvl="0">
      <w:startOverride w:val="1"/>
    </w:lvlOverride>
  </w:num>
  <w:num w:numId="11">
    <w:abstractNumId w:val="3"/>
    <w:lvlOverride w:ilvl="0">
      <w:startOverride w:val="1"/>
    </w:lvlOverride>
  </w:num>
  <w:num w:numId="12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B2118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Arial" w:cs="Arial" w:eastAsia="Arial" w:hAnsi="Arial"/>
      <w:b/>
      <w:bCs/>
      <w:color w:val="2F5D3A"/>
      <w:sz w:val="34"/>
      <w:szCs w:val="34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Arial" w:cs="Arial" w:eastAsia="Arial" w:hAnsi="Arial"/>
      <w:b/>
      <w:bCs/>
      <w:color w:val="2F5D3A"/>
      <w:sz w:val="25"/>
      <w:szCs w:val="25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header" Target="header2.xml"/><Relationship Id="rId10" Type="http://schemas.openxmlformats.org/officeDocument/2006/relationships/footer" Target="footer2.xml"/><Relationship Id="rIdt_jsgstngfc_7tb4p5_co" Type="http://schemas.openxmlformats.org/officeDocument/2006/relationships/hyperlink" Target="https://portale-cwp.vercel.app" TargetMode="External"/><Relationship Id="rIdvyxf-hxkelwdxlcqfahtr" Type="http://schemas.openxmlformats.org/officeDocument/2006/relationships/hyperlink" Target="https://portale-cwp.vercel.app" TargetMode="External"/><Relationship Id="rIdaq2ogkltzcj5dnqo5oiys" Type="http://schemas.openxmlformats.org/officeDocument/2006/relationships/hyperlink" Target="https://portale-cwp.vercel.app/consultazioni" TargetMode="External"/><Relationship Id="rIdiiciykvd4evoyzlvmh8if" Type="http://schemas.openxmlformats.org/officeDocument/2006/relationships/hyperlink" Target="https://portale-cwp.vercel.app/formato-dati" TargetMode="External"/><Relationship Id="rId44z25meqmjkgy910bdqve" Type="http://schemas.openxmlformats.org/officeDocument/2006/relationships/hyperlink" Target="https://portale-cwp.vercel.app/programma" TargetMode="External"/><Relationship Id="rId11" Type="http://schemas.openxmlformats.org/officeDocument/2006/relationships/image" Target="media/5fa51a4a845a79cc491bb93b462e0bf45a7da716.png"/><Relationship Id="rId12" Type="http://schemas.openxmlformats.org/officeDocument/2006/relationships/image" Target="media/b53ac51634209f540a62598d4ba8e3f505358dba.png"/><Relationship Id="rId1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5fa51a4a845a79cc491bb93b462e0bf45a7da716.png"/></Relationships>
</file>

<file path=word/_rels/header2.xml.rels><?xml version="1.0" encoding="UTF-8"?><Relationships xmlns="http://schemas.openxmlformats.org/package/2006/relationships"><Relationship Id="rId0" Type="http://schemas.openxmlformats.org/officeDocument/2006/relationships/image" Target="media/5fa51a4a845a79cc491bb93b462e0bf45a7da716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Manuale Utente — Portale Carbon WastePrint (Rev. 2.7)</dc:title>
  <dc:creator>Fondazione Operate</dc:creator>
  <cp:lastModifiedBy>Un-named</cp:lastModifiedBy>
  <cp:revision>1</cp:revision>
  <dcterms:created xsi:type="dcterms:W3CDTF">2026-10-19T16:35:57.231Z</dcterms:created>
  <dcterms:modified xsi:type="dcterms:W3CDTF">2026-10-19T16:35:57.231Z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