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«Marketing: Comuni, gestori e campagne» (banche dati, campagne, pagina Approfondisci, richieste).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in Dashboard e nella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progetto e dati della pratica: listino Caso 1 / Caso 2 e valore del progetto; Dashboard: valore dei progetti per il cliente.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protezione dei dati del tracciato e della Banca Dati Utenze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6.1 del 23/10/2026.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14</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19</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24</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25</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26</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29</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30</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33</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45</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49</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51</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52</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53</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54</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Marketing: Comuni, gestori e campagne</w:t>
        </w:r>
        <w:r>
          <w:rPr>
            <w:rFonts w:ascii="Arial" w:cs="Arial" w:eastAsia="Arial" w:hAnsi="Arial"/>
            <w:color w:val="1B2118"/>
            <w:sz w:val="22"/>
            <w:szCs w:val="22"/>
          </w:rPr>
          <w:tab/>
          <w:t xml:space="preserve">57</w:t>
        </w:r>
      </w:hyperlink>
    </w:p>
    <w:p>
      <w:pPr>
        <w:tabs>
          <w:tab w:val="right" w:pos="9638" w:leader="dot"/>
        </w:tabs>
        <w:spacing w:after="130"/>
      </w:pPr>
      <w:hyperlink w:history="1" w:anchor="cap27">
        <w:r>
          <w:rPr>
            <w:rFonts w:ascii="Arial" w:cs="Arial" w:eastAsia="Arial" w:hAnsi="Arial"/>
            <w:color w:val="1B2118"/>
            <w:sz w:val="22"/>
            <w:szCs w:val="22"/>
          </w:rPr>
          <w:t xml:space="preserve">27.  Assistente virtuale</w:t>
        </w:r>
        <w:r>
          <w:rPr>
            <w:rFonts w:ascii="Arial" w:cs="Arial" w:eastAsia="Arial" w:hAnsi="Arial"/>
            <w:color w:val="1B2118"/>
            <w:sz w:val="22"/>
            <w:szCs w:val="22"/>
          </w:rPr>
          <w:tab/>
          <w:t xml:space="preserve">59</w:t>
        </w:r>
      </w:hyperlink>
    </w:p>
    <w:p>
      <w:pPr>
        <w:tabs>
          <w:tab w:val="right" w:pos="9638" w:leader="dot"/>
        </w:tabs>
        <w:spacing w:after="130"/>
      </w:pPr>
      <w:hyperlink w:history="1" w:anchor="cap28">
        <w:r>
          <w:rPr>
            <w:rFonts w:ascii="Arial" w:cs="Arial" w:eastAsia="Arial" w:hAnsi="Arial"/>
            <w:color w:val="1B2118"/>
            <w:sz w:val="22"/>
            <w:szCs w:val="22"/>
          </w:rPr>
          <w:t xml:space="preserve">28.  Sicurezza</w:t>
        </w:r>
        <w:r>
          <w:rPr>
            <w:rFonts w:ascii="Arial" w:cs="Arial" w:eastAsia="Arial" w:hAnsi="Arial"/>
            <w:color w:val="1B2118"/>
            <w:sz w:val="22"/>
            <w:szCs w:val="22"/>
          </w:rPr>
          <w:tab/>
          <w:t xml:space="preserve">61</w:t>
        </w:r>
      </w:hyperlink>
    </w:p>
    <w:p>
      <w:pPr>
        <w:tabs>
          <w:tab w:val="right" w:pos="9638" w:leader="dot"/>
        </w:tabs>
        <w:spacing w:after="130"/>
      </w:pPr>
      <w:hyperlink w:history="1" w:anchor="cap29">
        <w:r>
          <w:rPr>
            <w:rFonts w:ascii="Arial" w:cs="Arial" w:eastAsia="Arial" w:hAnsi="Arial"/>
            <w:color w:val="1B2118"/>
            <w:sz w:val="22"/>
            <w:szCs w:val="22"/>
          </w:rPr>
          <w:t xml:space="preserve">29.  Manutenzione ed emergenze</w:t>
        </w:r>
        <w:r>
          <w:rPr>
            <w:rFonts w:ascii="Arial" w:cs="Arial" w:eastAsia="Arial" w:hAnsi="Arial"/>
            <w:color w:val="1B2118"/>
            <w:sz w:val="22"/>
            <w:szCs w:val="22"/>
          </w:rPr>
          <w:tab/>
          <w:t xml:space="preserve">62</w:t>
        </w:r>
      </w:hyperlink>
    </w:p>
    <w:p>
      <w:pPr>
        <w:tabs>
          <w:tab w:val="right" w:pos="9638" w:leader="dot"/>
        </w:tabs>
        <w:spacing w:after="130"/>
      </w:pPr>
      <w:hyperlink w:history="1" w:anchor="cap30">
        <w:r>
          <w:rPr>
            <w:rFonts w:ascii="Arial" w:cs="Arial" w:eastAsia="Arial" w:hAnsi="Arial"/>
            <w:color w:val="1B2118"/>
            <w:sz w:val="22"/>
            <w:szCs w:val="22"/>
          </w:rPr>
          <w:t xml:space="preserve">30.  Funzioni in arrivo</w:t>
        </w:r>
        <w:r>
          <w:rPr>
            <w:rFonts w:ascii="Arial" w:cs="Arial" w:eastAsia="Arial" w:hAnsi="Arial"/>
            <w:color w:val="1B2118"/>
            <w:sz w:val="22"/>
            <w:szCs w:val="22"/>
          </w:rPr>
          <w:tab/>
          <w:t xml:space="preserve">63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zamcfmirci-ykbtkhlx2v">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prezzo di riferimento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prezzo di riferimento</w:t>
      </w:r>
      <w:r>
        <w:rPr>
          <w:rFonts w:ascii="Arial" w:cs="Arial" w:eastAsia="Arial" w:hAnsi="Arial"/>
          <w:color w:val="1B2118"/>
          <w:sz w:val="21"/>
          <w:szCs w:val="21"/>
        </w:rPr>
        <w:t xml:space="preserve"> (Impostazioni); le righe non si sommano, perché i crediti emessi provengono dai calcoli.</w:t>
      </w:r>
    </w:p>
    <w:p>
      <w:pPr>
        <w:pStyle w:val="ListParagraph"/>
        <w:numPr>
          <w:ilvl w:val="0"/>
          <w:numId w:val="2"/>
        </w:numPr>
        <w:spacing w:after="70" w:line="290"/>
      </w:pPr>
      <w:r>
        <w:rPr>
          <w:rFonts w:ascii="Arial" w:cs="Arial" w:eastAsia="Arial" w:hAnsi="Arial"/>
          <w:b/>
          <w:bCs/>
          <w:color w:val="1B2118"/>
          <w:sz w:val="21"/>
          <w:szCs w:val="21"/>
        </w:rPr>
        <w:t xml:space="preserve">Valore dei progetti (quanto paga il cliente)</w:t>
      </w:r>
      <w:r>
        <w:rPr>
          <w:rFonts w:ascii="Arial" w:cs="Arial" w:eastAsia="Arial" w:hAnsi="Arial"/>
          <w:color w:val="1B2118"/>
          <w:sz w:val="21"/>
          <w:szCs w:val="21"/>
        </w:rPr>
        <w:t xml:space="preserve"> (dal 23/10/2026): il totale in euro dei Progetti aperti (non annullati né ritirati) con il listino del </w:t>
      </w:r>
      <w:r>
        <w:rPr>
          <w:rFonts w:ascii="Arial" w:cs="Arial" w:eastAsia="Arial" w:hAnsi="Arial"/>
          <w:b/>
          <w:bCs/>
          <w:color w:val="1B2118"/>
          <w:sz w:val="21"/>
          <w:szCs w:val="21"/>
        </w:rPr>
        <w:t xml:space="preserve">Caso 1</w:t>
      </w:r>
      <w:r>
        <w:rPr>
          <w:rFonts w:ascii="Arial" w:cs="Arial" w:eastAsia="Arial" w:hAnsi="Arial"/>
          <w:color w:val="1B2118"/>
          <w:sz w:val="21"/>
          <w:szCs w:val="21"/>
        </w:rPr>
        <w:t xml:space="preserve"> o del </w:t>
      </w:r>
      <w:r>
        <w:rPr>
          <w:rFonts w:ascii="Arial" w:cs="Arial" w:eastAsia="Arial" w:hAnsi="Arial"/>
          <w:b/>
          <w:bCs/>
          <w:color w:val="1B2118"/>
          <w:sz w:val="21"/>
          <w:szCs w:val="21"/>
        </w:rPr>
        <w:t xml:space="preserve">Caso 2</w:t>
      </w:r>
      <w:r>
        <w:rPr>
          <w:rFonts w:ascii="Arial" w:cs="Arial" w:eastAsia="Arial" w:hAnsi="Arial"/>
          <w:color w:val="1B2118"/>
          <w:sz w:val="21"/>
          <w:szCs w:val="21"/>
        </w:rPr>
        <w:t xml:space="preserve">, per la popolazione e il periodo di ogni Progetto, con l'importo annuo; sotto, la riga </w:t>
      </w:r>
      <w:r>
        <w:rPr>
          <w:rFonts w:ascii="Arial" w:cs="Arial" w:eastAsia="Arial" w:hAnsi="Arial"/>
          <w:b/>
          <w:bCs/>
          <w:color w:val="1B2118"/>
          <w:sz w:val="21"/>
          <w:szCs w:val="21"/>
        </w:rPr>
        <w:t xml:space="preserve">In simulazione</w:t>
      </w:r>
      <w:r>
        <w:rPr>
          <w:rFonts w:ascii="Arial" w:cs="Arial" w:eastAsia="Arial" w:hAnsi="Arial"/>
          <w:color w:val="1B2118"/>
          <w:sz w:val="21"/>
          <w:szCs w:val="21"/>
        </w:rPr>
        <w:t xml:space="preserve"> con quanto pagherebbe il cliente nell'ultimo scenario di ogni Comune simulato con il Caso 1 o 2. Il riquadro dice quanti Progetti sono senza listino o senza popolazione (da completare in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 della pratica) e quanti scenari non hanno il Caso 1 o 2 (o sono stati salvati prima del 23/10: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spacing w:after="140" w:line="300"/>
      </w:pPr>
      <w:r>
        <w:rPr>
          <w:rFonts w:ascii="Arial" w:cs="Arial" w:eastAsia="Arial" w:hAnsi="Arial"/>
          <w:b/>
          <w:bCs/>
          <w:color w:val="1B2118"/>
          <w:sz w:val="21"/>
          <w:szCs w:val="21"/>
        </w:rPr>
        <w:t xml:space="preserve">Colori dello stato delle fasi (dal 23/10/2026).</w:t>
      </w:r>
      <w:r>
        <w:rPr>
          <w:rFonts w:ascii="Arial" w:cs="Arial" w:eastAsia="Arial" w:hAnsi="Arial"/>
          <w:color w:val="1B2118"/>
          <w:sz w:val="21"/>
          <w:szCs w:val="21"/>
        </w:rPr>
        <w:t xml:space="preserve"> Nella Dashboard (colonna Fase corrente) e nelle fasi della pratica la scritta dello stato è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Completata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arancio</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rossa</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e per il valore del progetto; si possono completare dopo.</w:t>
      </w:r>
    </w:p>
    <w:p>
      <w:pPr>
        <w:pStyle w:val="ListParagraph"/>
        <w:numPr>
          <w:ilvl w:val="0"/>
          <w:numId w:val="4"/>
        </w:numPr>
        <w:spacing w:after="70" w:line="290"/>
      </w:pP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obbligatorio dal 23/10/2026: </w:t>
      </w: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Caso 2 – Progetto obbligatorio (da bando di gara)</w:t>
      </w:r>
      <w:r>
        <w:rPr>
          <w:rFonts w:ascii="Arial" w:cs="Arial" w:eastAsia="Arial" w:hAnsi="Arial"/>
          <w:color w:val="1B2118"/>
          <w:sz w:val="21"/>
          <w:szCs w:val="21"/>
        </w:rPr>
        <w:t xml:space="preserve">, le stesse tabelle dei costi del Simulatore. Con la popolazione indicata, sotto il menu compare il </w:t>
      </w:r>
      <w:r>
        <w:rPr>
          <w:rFonts w:ascii="Arial" w:cs="Arial" w:eastAsia="Arial" w:hAnsi="Arial"/>
          <w:b/>
          <w:bCs/>
          <w:color w:val="1B2118"/>
          <w:sz w:val="21"/>
          <w:szCs w:val="21"/>
        </w:rPr>
        <w:t xml:space="preserve">valore del progetto</w:t>
      </w:r>
      <w:r>
        <w:rPr>
          <w:rFonts w:ascii="Arial" w:cs="Arial" w:eastAsia="Arial" w:hAnsi="Arial"/>
          <w:color w:val="1B2118"/>
          <w:sz w:val="21"/>
          <w:szCs w:val="21"/>
        </w:rPr>
        <w:t xml:space="preserve"> (es. Caso 1 a 16.735 abitanti: 16.232,95 € all'anno, 162.329,50 € in 10 anni). Con il periodo di 7 anni il valore è una stima, perché le tabelle valgono per 10 anni.</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e, per il Progetto, il </w:t>
      </w:r>
      <w:r>
        <w:rPr>
          <w:rFonts w:ascii="Arial" w:cs="Arial" w:eastAsia="Arial" w:hAnsi="Arial"/>
          <w:b/>
          <w:bCs/>
          <w:color w:val="1B2118"/>
          <w:sz w:val="21"/>
          <w:szCs w:val="21"/>
        </w:rPr>
        <w:t xml:space="preserve">Listino</w:t>
      </w:r>
      <w:r>
        <w:rPr>
          <w:rFonts w:ascii="Arial" w:cs="Arial" w:eastAsia="Arial" w:hAnsi="Arial"/>
          <w:color w:val="1B2118"/>
          <w:sz w:val="21"/>
          <w:szCs w:val="21"/>
        </w:rPr>
        <w:t xml:space="preserve"> (Caso 1 o Caso 2, «da indicare» per i Progetti aperti prima del 23/10/2026) con il </w:t>
      </w:r>
      <w:r>
        <w:rPr>
          <w:rFonts w:ascii="Arial" w:cs="Arial" w:eastAsia="Arial" w:hAnsi="Arial"/>
          <w:b/>
          <w:bCs/>
          <w:color w:val="1B2118"/>
          <w:sz w:val="21"/>
          <w:szCs w:val="21"/>
        </w:rPr>
        <w:t xml:space="preserve">Valore del progetto per il cliente</w:t>
      </w:r>
      <w:r>
        <w:rPr>
          <w:rFonts w:ascii="Arial" w:cs="Arial" w:eastAsia="Arial" w:hAnsi="Arial"/>
          <w:color w:val="1B2118"/>
          <w:sz w:val="21"/>
          <w:szCs w:val="21"/>
        </w:rPr>
        <w:t xml:space="preserve"> (in 10 anni e all'anno).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prezzo di riferimento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Prezzo di riferimento del credito</w:t>
      </w:r>
    </w:p>
    <w:p>
      <w:pPr>
        <w:spacing w:after="140" w:line="300"/>
      </w:pPr>
      <w:r>
        <w:rPr>
          <w:rFonts w:ascii="Arial" w:cs="Arial" w:eastAsia="Arial" w:hAnsi="Arial"/>
          <w:color w:val="1B2118"/>
          <w:sz w:val="21"/>
          <w:szCs w:val="21"/>
        </w:rPr>
        <w:t xml:space="preserve">Il prezzo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come il valore proposto dal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Il tracciato (passo 5b)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(la Banca Dati Utenze per utenza del passo 5a, descritta più avanti, contiene invece nomi e indirizzi, con le protezioni indicate lì):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Marketing: Comuni, gestori e campagne</w:t>
      </w:r>
      <w:bookmarkEnd w:id="1"/>
    </w:p>
    <w:p>
      <w:pPr>
        <w:spacing w:after="140" w:line="30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(solo Amministratori). Serve a far conoscere il Programma ai Comuni e ai gestori del servizio rifiuti e a raccogliere le richieste di registrazione.</w:t>
      </w:r>
    </w:p>
    <w:p>
      <w:pPr>
        <w:pStyle w:val="Heading2"/>
        <w:keepNext/>
        <w:spacing w:after="120" w:before="240"/>
      </w:pPr>
      <w:r>
        <w:rPr>
          <w:rFonts w:ascii="Arial" w:cs="Arial" w:eastAsia="Arial" w:hAnsi="Arial"/>
          <w:b/>
          <w:bCs/>
          <w:color w:val="2F5D3A"/>
          <w:sz w:val="25"/>
          <w:szCs w:val="25"/>
        </w:rPr>
        <w:t xml:space="preserve">Le banche dati</w:t>
      </w:r>
    </w:p>
    <w:p>
      <w:pPr>
        <w:pStyle w:val="ListParagraph"/>
        <w:numPr>
          <w:ilvl w:val="0"/>
          <w:numId w:val="2"/>
        </w:numPr>
        <w:spacing w:after="70" w:line="290"/>
      </w:pPr>
      <w:r>
        <w:rPr>
          <w:rFonts w:ascii="Arial" w:cs="Arial" w:eastAsia="Arial" w:hAnsi="Arial"/>
          <w:b/>
          <w:bCs/>
          <w:color w:val="1B2118"/>
          <w:sz w:val="21"/>
          <w:szCs w:val="21"/>
        </w:rPr>
        <w:t xml:space="preserve">Comuni</w:t>
      </w:r>
      <w:r>
        <w:rPr>
          <w:rFonts w:ascii="Arial" w:cs="Arial" w:eastAsia="Arial" w:hAnsi="Arial"/>
          <w:color w:val="1B2118"/>
          <w:sz w:val="21"/>
          <w:szCs w:val="21"/>
        </w:rPr>
        <w:t xml:space="preserve">: tutti i Comuni italiani con regione, provincia e abitanti; PEC, email generica, sito e referenti (sindaco, responsabili di tributi, ambiente, ufficio finanziario e tecnico) dall'Indice dei domicili digitali della PA (IndicePA).</w:t>
      </w:r>
    </w:p>
    <w:p>
      <w:pPr>
        <w:pStyle w:val="ListParagraph"/>
        <w:numPr>
          <w:ilvl w:val="0"/>
          <w:numId w:val="2"/>
        </w:numPr>
        <w:spacing w:after="70" w:line="290"/>
      </w:pPr>
      <w:r>
        <w:rPr>
          <w:rFonts w:ascii="Arial" w:cs="Arial" w:eastAsia="Arial" w:hAnsi="Arial"/>
          <w:b/>
          <w:bCs/>
          <w:color w:val="1B2118"/>
          <w:sz w:val="21"/>
          <w:szCs w:val="21"/>
        </w:rPr>
        <w:t xml:space="preserve">Gestori</w:t>
      </w:r>
      <w:r>
        <w:rPr>
          <w:rFonts w:ascii="Arial" w:cs="Arial" w:eastAsia="Arial" w:hAnsi="Arial"/>
          <w:color w:val="1B2118"/>
          <w:sz w:val="21"/>
          <w:szCs w:val="21"/>
        </w:rPr>
        <w:t xml:space="preserve">: le imprese iscritte all'Albo Nazionale Gestori Ambientali in categoria 1 (raccolta e trasporto dei rifiuti urbani), pubbliche e private, con le attività svolte (raccolta, gestione della tariffa), PEC, email e referenti (direttore tecnico, direttore generale, amministratore).</w:t>
      </w:r>
    </w:p>
    <w:p>
      <w:pPr>
        <w:spacing w:after="140" w:line="300"/>
      </w:pPr>
      <w:r>
        <w:rPr>
          <w:rFonts w:ascii="Arial" w:cs="Arial" w:eastAsia="Arial" w:hAnsi="Arial"/>
          <w:color w:val="1B2118"/>
          <w:sz w:val="21"/>
          <w:szCs w:val="21"/>
        </w:rPr>
        <w:t xml:space="preserve">Filtrate per regione, provincia, abitanti, «con email generica», natura e attività; cercate per nome. Aprendo una riga si vede la scheda: potete correggere email, sito, attività e note e aggiungere o togliere referenti (per ognuno indicate la fonte, per esempio il sito dell'ente).</w:t>
      </w:r>
    </w:p>
    <w:p>
      <w:pPr>
        <w:pStyle w:val="Heading2"/>
        <w:keepNext/>
        <w:spacing w:after="120" w:before="240"/>
      </w:pPr>
      <w:r>
        <w:rPr>
          <w:rFonts w:ascii="Arial" w:cs="Arial" w:eastAsia="Arial" w:hAnsi="Arial"/>
          <w:b/>
          <w:bCs/>
          <w:color w:val="2F5D3A"/>
          <w:sz w:val="25"/>
          <w:szCs w:val="25"/>
        </w:rPr>
        <w:t xml:space="preserve">Aggiornare le banche dati</w:t>
      </w:r>
    </w:p>
    <w:p>
      <w:pPr>
        <w:spacing w:after="140" w:line="30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Importazioni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Aggiorna i Comuni</w:t>
      </w:r>
      <w:r>
        <w:rPr>
          <w:rFonts w:ascii="Arial" w:cs="Arial" w:eastAsia="Arial" w:hAnsi="Arial"/>
          <w:color w:val="1B2118"/>
          <w:sz w:val="21"/>
          <w:szCs w:val="21"/>
        </w:rPr>
        <w:t xml:space="preserve"> (qualche minuto: elenco ISTAT, poi IndicePA e gli uffici dei Comuni) e </w:t>
      </w:r>
      <w:r>
        <w:rPr>
          <w:rFonts w:ascii="Arial" w:cs="Arial" w:eastAsia="Arial" w:hAnsi="Arial"/>
          <w:b/>
          <w:bCs/>
          <w:color w:val="1B2118"/>
          <w:sz w:val="21"/>
          <w:szCs w:val="21"/>
        </w:rPr>
        <w:t xml:space="preserve">Aggiorna i gestori</w:t>
      </w:r>
      <w:r>
        <w:rPr>
          <w:rFonts w:ascii="Arial" w:cs="Arial" w:eastAsia="Arial" w:hAnsi="Arial"/>
          <w:color w:val="1B2118"/>
          <w:sz w:val="21"/>
          <w:szCs w:val="21"/>
        </w:rPr>
        <w:t xml:space="preserve"> (tutte le sezioni dell'Albo o una sola). Il diario mostra cosa è stato letto. Le modifiche fatte a mano restano, salvo nuovi valori dalla stessa fonte. Per i gestori privati le attività e i referenti si completano dalle schede, verificando sui loro siti.</w:t>
      </w:r>
    </w:p>
    <w:p>
      <w:pPr>
        <w:pStyle w:val="Heading2"/>
        <w:keepNext/>
        <w:spacing w:after="120" w:before="240"/>
      </w:pPr>
      <w:r>
        <w:rPr>
          <w:rFonts w:ascii="Arial" w:cs="Arial" w:eastAsia="Arial" w:hAnsi="Arial"/>
          <w:b/>
          <w:bCs/>
          <w:color w:val="2F5D3A"/>
          <w:sz w:val="25"/>
          <w:szCs w:val="25"/>
        </w:rPr>
        <w:t xml:space="preserve">Creare e inviare una campagna</w:t>
      </w:r>
    </w:p>
    <w:p>
      <w:pPr>
        <w:pStyle w:val="ListParagraph"/>
        <w:numPr>
          <w:ilvl w:val="0"/>
          <w:numId w:val="42"/>
        </w:numPr>
        <w:spacing w:after="70" w:line="29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Campagne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Nuova campagna</w:t>
      </w:r>
      <w:r>
        <w:rPr>
          <w:rFonts w:ascii="Arial" w:cs="Arial" w:eastAsia="Arial" w:hAnsi="Arial"/>
          <w:color w:val="1B2118"/>
          <w:sz w:val="21"/>
          <w:szCs w:val="21"/>
        </w:rPr>
        <w:t xml:space="preserve">: titolo interno, oggetto dell'email, testo (paragrafi separati da una riga vuota) e grafica dell'intestazione. A destra l'anteprima: sotto il vostro testo l'email aggiunge il riquadro «7, 10 o 21 anni» e il pulsante </w:t>
      </w:r>
      <w:r>
        <w:rPr>
          <w:rFonts w:ascii="Arial" w:cs="Arial" w:eastAsia="Arial" w:hAnsi="Arial"/>
          <w:b/>
          <w:bCs/>
          <w:color w:val="1B2118"/>
          <w:sz w:val="21"/>
          <w:szCs w:val="21"/>
        </w:rPr>
        <w:t xml:space="preserve">Approfondisci e simula il tuo Comune</w:t>
      </w:r>
      <w:r>
        <w:rPr>
          <w:rFonts w:ascii="Arial" w:cs="Arial" w:eastAsia="Arial" w:hAnsi="Arial"/>
          <w:color w:val="1B2118"/>
          <w:sz w:val="21"/>
          <w:szCs w:val="21"/>
        </w:rPr>
        <w:t xml:space="preserve">.</w:t>
      </w:r>
    </w:p>
    <w:p>
      <w:pPr>
        <w:pStyle w:val="ListParagraph"/>
        <w:numPr>
          <w:ilvl w:val="0"/>
          <w:numId w:val="42"/>
        </w:numPr>
        <w:spacing w:after="70" w:line="290"/>
      </w:pPr>
      <w:r>
        <w:rPr>
          <w:rFonts w:ascii="Arial" w:cs="Arial" w:eastAsia="Arial" w:hAnsi="Arial"/>
          <w:b/>
          <w:bCs/>
          <w:color w:val="1B2118"/>
          <w:sz w:val="21"/>
          <w:szCs w:val="21"/>
        </w:rPr>
        <w:t xml:space="preserve">Invia una prova a me</w:t>
      </w:r>
      <w:r>
        <w:rPr>
          <w:rFonts w:ascii="Arial" w:cs="Arial" w:eastAsia="Arial" w:hAnsi="Arial"/>
          <w:color w:val="1B2118"/>
          <w:sz w:val="21"/>
          <w:szCs w:val="21"/>
        </w:rPr>
        <w:t xml:space="preserve">: l'email arriva al vostro indirizzo.</w:t>
      </w:r>
    </w:p>
    <w:p>
      <w:pPr>
        <w:pStyle w:val="ListParagraph"/>
        <w:numPr>
          <w:ilvl w:val="0"/>
          <w:numId w:val="42"/>
        </w:numPr>
        <w:spacing w:after="70" w:line="290"/>
      </w:pPr>
      <w:r>
        <w:rPr>
          <w:rFonts w:ascii="Arial" w:cs="Arial" w:eastAsia="Arial" w:hAnsi="Arial"/>
          <w:b/>
          <w:bCs/>
          <w:color w:val="1B2118"/>
          <w:sz w:val="21"/>
          <w:szCs w:val="21"/>
        </w:rPr>
        <w:t xml:space="preserve">Destinatari</w:t>
      </w:r>
      <w:r>
        <w:rPr>
          <w:rFonts w:ascii="Arial" w:cs="Arial" w:eastAsia="Arial" w:hAnsi="Arial"/>
          <w:color w:val="1B2118"/>
          <w:sz w:val="21"/>
          <w:szCs w:val="21"/>
        </w:rPr>
        <w:t xml:space="preserve">: scegliete Comuni e/o gestori, regioni, abitanti e (per i gestori) natura e attività, poi </w:t>
      </w:r>
      <w:r>
        <w:rPr>
          <w:rFonts w:ascii="Arial" w:cs="Arial" w:eastAsia="Arial" w:hAnsi="Arial"/>
          <w:b/>
          <w:bCs/>
          <w:color w:val="1B2118"/>
          <w:sz w:val="21"/>
          <w:szCs w:val="21"/>
        </w:rPr>
        <w:t xml:space="preserve">Cerca i destinatari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 Entrano solo gli enti con </w:t>
      </w:r>
      <w:r>
        <w:rPr>
          <w:rFonts w:ascii="Arial" w:cs="Arial" w:eastAsia="Arial" w:hAnsi="Arial"/>
          <w:b/>
          <w:bCs/>
          <w:color w:val="1B2118"/>
          <w:sz w:val="21"/>
          <w:szCs w:val="21"/>
        </w:rPr>
        <w:t xml:space="preserve">email generica</w:t>
      </w:r>
      <w:r>
        <w:rPr>
          <w:rFonts w:ascii="Arial" w:cs="Arial" w:eastAsia="Arial" w:hAnsi="Arial"/>
          <w:color w:val="1B2118"/>
          <w:sz w:val="21"/>
          <w:szCs w:val="21"/>
        </w:rPr>
        <w:t xml:space="preserve">: le PEC non si usano mai; sono esclusi gli indirizzi che hanno chiesto di non ricevere altre comunicazioni.</w:t>
      </w:r>
    </w:p>
    <w:p>
      <w:pPr>
        <w:pStyle w:val="ListParagraph"/>
        <w:numPr>
          <w:ilvl w:val="0"/>
          <w:numId w:val="42"/>
        </w:numPr>
        <w:spacing w:after="70" w:line="290"/>
      </w:pP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l'invio procede a blocchi; i contatori mostrano da inviare, inviati, errori, esclusi, visite alla pagina, simulazioni e richieste.</w:t>
      </w:r>
    </w:p>
    <w:p>
      <w:pPr>
        <w:spacing w:after="60"/>
      </w:pPr>
    </w:p>
    <w:p>
      <w:pPr>
        <w:spacing w:after="140" w:line="300"/>
      </w:pPr>
      <w:r>
        <w:rPr>
          <w:rFonts w:ascii="Arial" w:cs="Arial" w:eastAsia="Arial" w:hAnsi="Arial"/>
          <w:color w:val="1B2118"/>
          <w:sz w:val="21"/>
          <w:szCs w:val="21"/>
        </w:rPr>
        <w:t xml:space="preserve">Ogni email contiene l'informativa e il collegamento per non ricevere altre comunicazioni. Finché il dominio email della Fondazione non è verificato le email arrivano solo al titolare del servizio email; il piano attuale ne consente 100 al giorno.</w:t>
      </w:r>
    </w:p>
    <w:p>
      <w:pPr>
        <w:pStyle w:val="Heading2"/>
        <w:keepNext/>
        <w:spacing w:after="120" w:before="240"/>
      </w:pPr>
      <w:r>
        <w:rPr>
          <w:rFonts w:ascii="Arial" w:cs="Arial" w:eastAsia="Arial" w:hAnsi="Arial"/>
          <w:b/>
          <w:bCs/>
          <w:color w:val="2F5D3A"/>
          <w:sz w:val="25"/>
          <w:szCs w:val="25"/>
        </w:rPr>
        <w:t xml:space="preserve">La pagina «Approfondisci»</w:t>
      </w:r>
    </w:p>
    <w:p>
      <w:pPr>
        <w:spacing w:after="140" w:line="300"/>
      </w:pPr>
      <w:r>
        <w:rPr>
          <w:rFonts w:ascii="Arial" w:cs="Arial" w:eastAsia="Arial" w:hAnsi="Arial"/>
          <w:color w:val="1B2118"/>
          <w:sz w:val="21"/>
          <w:szCs w:val="21"/>
        </w:rPr>
        <w:t xml:space="preserve">Il pulsante dell'email apre una pagina pubblica (senza accesso) con il nome del Comune: presenta il Programma, chiede abitanti, rifiuti totali e secco residuo (tonnellate all'anno), durata (7, 10 o 21 anni) e tipo di progetto (Caso 1 volontario o Caso 2 da bando di gara) e mostra crediti, ricavi, costi e margine anno per anno con un grafico e le ipotesi della stima. Si può scaricare il </w:t>
      </w:r>
      <w:r>
        <w:rPr>
          <w:rFonts w:ascii="Arial" w:cs="Arial" w:eastAsia="Arial" w:hAnsi="Arial"/>
          <w:b/>
          <w:bCs/>
          <w:color w:val="1B2118"/>
          <w:sz w:val="21"/>
          <w:szCs w:val="21"/>
        </w:rPr>
        <w:t xml:space="preserve">fascicolo informativo</w:t>
      </w:r>
      <w:r>
        <w:rPr>
          <w:rFonts w:ascii="Arial" w:cs="Arial" w:eastAsia="Arial" w:hAnsi="Arial"/>
          <w:color w:val="1B2118"/>
          <w:sz w:val="21"/>
          <w:szCs w:val="21"/>
        </w:rPr>
        <w:t xml:space="preserve"> (PDF) e inviare la </w:t>
      </w:r>
      <w:r>
        <w:rPr>
          <w:rFonts w:ascii="Arial" w:cs="Arial" w:eastAsia="Arial" w:hAnsi="Arial"/>
          <w:b/>
          <w:bCs/>
          <w:color w:val="1B2118"/>
          <w:sz w:val="21"/>
          <w:szCs w:val="21"/>
        </w:rPr>
        <w:t xml:space="preserve">richiesta di registrazione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Richieste di registrazione</w:t>
      </w:r>
    </w:p>
    <w:p>
      <w:pPr>
        <w:spacing w:after="140" w:line="300"/>
      </w:pPr>
      <w:r>
        <w:rPr>
          <w:rFonts w:ascii="Arial" w:cs="Arial" w:eastAsia="Arial" w:hAnsi="Arial"/>
          <w:color w:val="1B2118"/>
          <w:sz w:val="21"/>
          <w:szCs w:val="21"/>
        </w:rPr>
        <w:t xml:space="preserve">Ogni richiesta arriva a tutti gli Amministratori come notifica nel portale ed email. Nella scheda </w:t>
      </w:r>
      <w:r>
        <w:rPr>
          <w:rFonts w:ascii="Arial" w:cs="Arial" w:eastAsia="Arial" w:hAnsi="Arial"/>
          <w:b/>
          <w:bCs/>
          <w:color w:val="1B2118"/>
          <w:sz w:val="21"/>
          <w:szCs w:val="21"/>
        </w:rPr>
        <w:t xml:space="preserve">Richieste</w:t>
      </w:r>
      <w:r>
        <w:rPr>
          <w:rFonts w:ascii="Arial" w:cs="Arial" w:eastAsia="Arial" w:hAnsi="Arial"/>
          <w:color w:val="1B2118"/>
          <w:sz w:val="21"/>
          <w:szCs w:val="21"/>
        </w:rPr>
        <w:t xml:space="preserve"> trovate referente, recapiti, messaggio e la simulazione fatta; scrivete le note (es. «chiamato il…») e segnate la richiesta come gestita. La registrazione vera e propria si fa come sempre da Utenti e Anagrafiche.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0" w:id="1"/>
      <w:r>
        <w:rPr>
          <w:rFonts w:ascii="Arial" w:cs="Arial" w:eastAsia="Arial" w:hAnsi="Arial"/>
          <w:b/>
          <w:bCs/>
          <w:color w:val="2F5D3A"/>
          <w:sz w:val="34"/>
          <w:szCs w:val="34"/>
        </w:rPr>
        <w:t xml:space="preserve">30.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6.1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6.1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zamcfmirci-ykbtkhlx2v"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6.1)</dc:title>
  <dc:creator>Fondazione Operate</dc:creator>
  <cp:lastModifiedBy>Un-named</cp:lastModifiedBy>
  <cp:revision>1</cp:revision>
  <dcterms:created xsi:type="dcterms:W3CDTF">2026-10-23T10:05:46.116Z</dcterms:created>
  <dcterms:modified xsi:type="dcterms:W3CDTF">2026-10-23T10:05:46.116Z</dcterms:modified>
</cp:coreProperties>
</file>

<file path=docProps/custom.xml><?xml version="1.0" encoding="utf-8"?>
<Properties xmlns="http://schemas.openxmlformats.org/officeDocument/2006/custom-properties" xmlns:vt="http://schemas.openxmlformats.org/officeDocument/2006/docPropsVTypes"/>
</file>