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8.3</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26/10/2026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di Borgoval (ISPRA Casalmaggiore 2024, differenziata all'87%, 10.778 utenze) e correzione ISS-041.</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 DPIA della Banca Dati Utenze (cronologia, artefatti, Da fare subito).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del 26/10: lettura dei siti completata (primo giro), funzionalità e «Da fare subito»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obbligatorio (script 47), Progetti esistenti a Caso 1; tutti gli script 01-47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Lettore dei siti (script 46, versione gratuita) in produzione; secondo lotto di gestori lombardi verificati; tutti gli script 01-46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45 in produzione: Rapporto solo per Progetti registrati, Marketing più veloce; tutti gli script 01-45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verifica dei gestori sui siti, primo lotto (Lombardia classi A e B) e strumento di caricamento.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in produzione il 23/10 (script 44, funzione marketing), correzioni dell'importazione, banche dati caricate; tutti gli script 01-44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(script 44, funzione marketing, pagine /marketing e /scopri): pronta, da eseguire in produzione con l'OK di Luca; nuovo capitolo 16.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34 eseguito in produzione il 23/10; tutti gli script 01-43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(cronologia del 23/10).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43 (valore dei progetti, listino Caso 1 / Caso 2), funzione cruscotto_valore_progetti,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intestazione (versione 0.42), dati personali, flusso del calcolo, «Da fare subito», struttura del codice, tabelle; script 34 verificato non eseguito.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8.3 del 26/10/2026.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7</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11</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12</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24</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27</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26/10/2026)</w:t>
        </w:r>
        <w:r>
          <w:rPr>
            <w:rFonts w:ascii="Arial" w:cs="Arial" w:eastAsia="Arial" w:hAnsi="Arial"/>
            <w:color w:val="1B2118"/>
            <w:sz w:val="22"/>
            <w:szCs w:val="22"/>
          </w:rPr>
          <w:tab/>
          <w:t xml:space="preserve">30</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33</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35</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55</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57</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59</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65</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66</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82</w:t>
        </w:r>
      </w:hyperlink>
    </w:p>
    <w:p>
      <w:pPr>
        <w:tabs>
          <w:tab w:val="right" w:pos="9638" w:leader="dot"/>
        </w:tabs>
        <w:spacing w:after="130"/>
      </w:pPr>
      <w:hyperlink w:history="1" w:anchor="cap16">
        <w:r>
          <w:rPr>
            <w:rFonts w:ascii="Arial" w:cs="Arial" w:eastAsia="Arial" w:hAnsi="Arial"/>
            <w:color w:val="1B2118"/>
            <w:sz w:val="22"/>
            <w:szCs w:val="22"/>
          </w:rPr>
          <w:t xml:space="preserve">16. Marketing</w:t>
        </w:r>
        <w:r>
          <w:rPr>
            <w:rFonts w:ascii="Arial" w:cs="Arial" w:eastAsia="Arial" w:hAnsi="Arial"/>
            <w:color w:val="1B2118"/>
            <w:sz w:val="22"/>
            <w:szCs w:val="22"/>
          </w:rPr>
          <w:tab/>
          <w:t xml:space="preserve">84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il tracciato dati (passo 5b) deve contenere solo codici anonimi (import bloccato altrimenti); la Banca Dati Utenze per utenza (passo 5a, script 40, dal 22/10) contiene nome e indirizzo per scelta di Luca: nessuna lettura diretta, consultazione solo dello staff con voce di audit, motore senza nomi, Comune escluso; servono DPIA e accordo art. 28 con i Comuni.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dal 22/10 le utenze dell'anno si caricano nel passo «5a» (</w:t>
      </w:r>
      <w:r>
        <w:rPr>
          <w:rFonts w:ascii="Consolas" w:cs="Consolas" w:eastAsia="Consolas" w:hAnsi="Consolas"/>
          <w:color w:val="2F5D3A"/>
          <w:sz w:val="21"/>
          <w:szCs w:val="21"/>
        </w:rPr>
        <w:t xml:space="preserve">UtenzeCalcolo.jsx</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calcolo_utenza</w:t>
      </w:r>
      <w:r>
        <w:rPr>
          <w:rFonts w:ascii="Arial" w:cs="Arial" w:eastAsia="Arial" w:hAnsi="Arial"/>
          <w:color w:val="1B2118"/>
          <w:sz w:val="21"/>
          <w:szCs w:val="21"/>
        </w:rPr>
        <w:t xml:space="preserve">, script 40) e dal 23/10 il motore usa quelle (script 41)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23/10/2026 alle 12:20</w:t>
            </w:r>
            <w:r>
              <w:rPr>
                <w:rFonts w:ascii="Arial" w:cs="Arial" w:eastAsia="Arial" w:hAnsi="Arial"/>
                <w:color w:val="1B2118"/>
                <w:sz w:val="18"/>
                <w:szCs w:val="18"/>
              </w:rPr>
              <w:t xml:space="preserve"> su incarico di Luca, dopo gli script 35-43 (prova sul banco nello stesso ordine: stesse 9 funzioni eseguibili senza accesso, </w:t>
            </w:r>
            <w:r>
              <w:rPr>
                <w:rFonts w:ascii="Consolas" w:cs="Consolas" w:eastAsia="Consolas" w:hAnsi="Consolas"/>
                <w:color w:val="2F5D3A"/>
                <w:sz w:val="18"/>
                <w:szCs w:val="18"/>
              </w:rPr>
              <w:t xml:space="preserve">t41</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t43</w:t>
            </w:r>
            <w:r>
              <w:rPr>
                <w:rFonts w:ascii="Arial" w:cs="Arial" w:eastAsia="Arial" w:hAnsi="Arial"/>
                <w:color w:val="1B2118"/>
                <w:sz w:val="18"/>
                <w:szCs w:val="18"/>
              </w:rPr>
              <w:t xml:space="preserve"> invariati)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47_listino_obbligatorio.sql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obbligatorio (25/10/2026, richiesta di Luca delle 12:07; </w:t>
            </w:r>
            <w:r>
              <w:rPr>
                <w:rFonts w:ascii="Arial" w:cs="Arial" w:eastAsia="Arial" w:hAnsi="Arial"/>
                <w:b/>
                <w:bCs/>
                <w:color w:val="1B2118"/>
                <w:sz w:val="18"/>
                <w:szCs w:val="18"/>
              </w:rPr>
              <w:t xml:space="preserve">eseguito in produzione il 25/10/2026 alle 12:15</w:t>
            </w:r>
            <w:r>
              <w:rPr>
                <w:rFonts w:ascii="Arial" w:cs="Arial" w:eastAsia="Arial" w:hAnsi="Arial"/>
                <w:color w:val="1B2118"/>
                <w:sz w:val="18"/>
                <w:szCs w:val="18"/>
              </w:rPr>
              <w:t xml:space="preserve">): i Progetti senza listino passano a Caso 1 con motivazione nell'audit; trigger </w:t>
            </w:r>
            <w:r>
              <w:rPr>
                <w:rFonts w:ascii="Consolas" w:cs="Consolas" w:eastAsia="Consolas" w:hAnsi="Consolas"/>
                <w:color w:val="2F5D3A"/>
                <w:sz w:val="18"/>
                <w:szCs w:val="18"/>
              </w:rPr>
              <w:t xml:space="preserve">trg_pratica_listino</w:t>
            </w:r>
            <w:r>
              <w:rPr>
                <w:rFonts w:ascii="Arial" w:cs="Arial" w:eastAsia="Arial" w:hAnsi="Arial"/>
                <w:color w:val="1B2118"/>
                <w:sz w:val="18"/>
                <w:szCs w:val="18"/>
              </w:rPr>
              <w:t xml:space="preserve"> (messaggio «Scegli il listino…») e vincolo </w:t>
            </w:r>
            <w:r>
              <w:rPr>
                <w:rFonts w:ascii="Consolas" w:cs="Consolas" w:eastAsia="Consolas" w:hAnsi="Consolas"/>
                <w:color w:val="2F5D3A"/>
                <w:sz w:val="18"/>
                <w:szCs w:val="18"/>
              </w:rPr>
              <w:t xml:space="preserve">chk_progetto_listino</w:t>
            </w:r>
            <w:r>
              <w:rPr>
                <w:rFonts w:ascii="Arial" w:cs="Arial" w:eastAsia="Arial" w:hAnsi="Arial"/>
                <w:color w:val="1B2118"/>
                <w:sz w:val="18"/>
                <w:szCs w:val="18"/>
              </w:rPr>
              <w:t xml:space="preserve"> (ogni Progetto ha Caso 1 o Caso 2; i Rapporti no). Prova </w:t>
            </w:r>
            <w:r>
              <w:rPr>
                <w:rFonts w:ascii="Consolas" w:cs="Consolas" w:eastAsia="Consolas" w:hAnsi="Consolas"/>
                <w:color w:val="2F5D3A"/>
                <w:sz w:val="18"/>
                <w:szCs w:val="18"/>
              </w:rPr>
              <w:t xml:space="preserve">t47.sql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46_lettura_siti.sql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Lettore dei siti di Comuni e gestori (25/10/2026, richiesta di Luca; versione gratuita scelta da Luca; </w:t>
            </w:r>
            <w:r>
              <w:rPr>
                <w:rFonts w:ascii="Arial" w:cs="Arial" w:eastAsia="Arial" w:hAnsi="Arial"/>
                <w:b/>
                <w:bCs/>
                <w:color w:val="1B2118"/>
                <w:sz w:val="18"/>
                <w:szCs w:val="18"/>
              </w:rPr>
              <w:t xml:space="preserve">eseguito in produzione il 25/10/2026 alle 11:45</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mkt_lettura</w:t>
            </w:r>
            <w:r>
              <w:rPr>
                <w:rFonts w:ascii="Arial" w:cs="Arial" w:eastAsia="Arial" w:hAnsi="Arial"/>
                <w:color w:val="1B2118"/>
                <w:sz w:val="18"/>
                <w:szCs w:val="18"/>
              </w:rPr>
              <w:t xml:space="preserve"> (coda: stato, tentativi, pagine lette, esito, errore), impostazioni </w:t>
            </w:r>
            <w:r>
              <w:rPr>
                <w:rFonts w:ascii="Consolas" w:cs="Consolas" w:eastAsia="Consolas" w:hAnsi="Consolas"/>
                <w:color w:val="2F5D3A"/>
                <w:sz w:val="18"/>
                <w:szCs w:val="18"/>
              </w:rPr>
              <w:t xml:space="preserve">mkt_lettura_attiva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mkt_lettura_segreto</w:t>
            </w:r>
            <w:r>
              <w:rPr>
                <w:rFonts w:ascii="Arial" w:cs="Arial" w:eastAsia="Arial" w:hAnsi="Arial"/>
                <w:color w:val="1B2118"/>
                <w:sz w:val="18"/>
                <w:szCs w:val="18"/>
              </w:rPr>
              <w:t xml:space="preserve"> (codice casuale per il lavoro pianificato, non leggibile dal portale) e </w:t>
            </w:r>
            <w:r>
              <w:rPr>
                <w:rFonts w:ascii="Consolas" w:cs="Consolas" w:eastAsia="Consolas" w:hAnsi="Consolas"/>
                <w:color w:val="2F5D3A"/>
                <w:sz w:val="18"/>
                <w:szCs w:val="18"/>
              </w:rPr>
              <w:t xml:space="preserve">url_marketing</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admin_mkt_lettura_accoda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admin_mkt_lettura_attiva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admin_mkt_lettura_riepilogo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mkt_lettura_prendi</w:t>
            </w:r>
            <w:r>
              <w:rPr>
                <w:rFonts w:ascii="Arial" w:cs="Arial" w:eastAsia="Arial" w:hAnsi="Arial"/>
                <w:color w:val="1B2118"/>
                <w:sz w:val="18"/>
                <w:szCs w:val="18"/>
              </w:rPr>
              <w:t xml:space="preserve"> (solo chiave di servizio, </w:t>
            </w:r>
            <w:r>
              <w:rPr>
                <w:rFonts w:ascii="Consolas" w:cs="Consolas" w:eastAsia="Consolas" w:hAnsi="Consolas"/>
                <w:color w:val="2F5D3A"/>
                <w:sz w:val="18"/>
                <w:szCs w:val="18"/>
              </w:rPr>
              <w:t xml:space="preserve">skip locked</w:t>
            </w:r>
            <w:r>
              <w:rPr>
                <w:rFonts w:ascii="Arial" w:cs="Arial" w:eastAsia="Arial" w:hAnsi="Arial"/>
                <w:color w:val="1B2118"/>
                <w:sz w:val="18"/>
                <w:szCs w:val="18"/>
              </w:rPr>
              <w:t xml:space="preserve">, riprende le letture interrotte), </w:t>
            </w:r>
            <w:r>
              <w:rPr>
                <w:rFonts w:ascii="Consolas" w:cs="Consolas" w:eastAsia="Consolas" w:hAnsi="Consolas"/>
                <w:color w:val="2F5D3A"/>
                <w:sz w:val="18"/>
                <w:szCs w:val="18"/>
              </w:rPr>
              <w:t xml:space="preserve">richiedi_lettura_siti</w:t>
            </w:r>
            <w:r>
              <w:rPr>
                <w:rFonts w:ascii="Arial" w:cs="Arial" w:eastAsia="Arial" w:hAnsi="Arial"/>
                <w:color w:val="1B2118"/>
                <w:sz w:val="18"/>
                <w:szCs w:val="18"/>
              </w:rPr>
              <w:t xml:space="preserve"> e lavoro pianificato </w:t>
            </w:r>
            <w:r>
              <w:rPr>
                <w:rFonts w:ascii="Consolas" w:cs="Consolas" w:eastAsia="Consolas" w:hAnsi="Consolas"/>
                <w:color w:val="2F5D3A"/>
                <w:sz w:val="18"/>
                <w:szCs w:val="18"/>
              </w:rPr>
              <w:t xml:space="preserve">cwp_lettura_siti</w:t>
            </w:r>
            <w:r>
              <w:rPr>
                <w:rFonts w:ascii="Arial" w:cs="Arial" w:eastAsia="Arial" w:hAnsi="Arial"/>
                <w:color w:val="1B2118"/>
                <w:sz w:val="18"/>
                <w:szCs w:val="18"/>
              </w:rPr>
              <w:t xml:space="preserve"> ogni 30 secondi. Prova </w:t>
            </w:r>
            <w:r>
              <w:rPr>
                <w:rFonts w:ascii="Consolas" w:cs="Consolas" w:eastAsia="Consolas" w:hAnsi="Consolas"/>
                <w:color w:val="2F5D3A"/>
                <w:sz w:val="18"/>
                <w:szCs w:val="18"/>
              </w:rPr>
              <w:t xml:space="preserve">t46.sql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45_rapporto_registrato_marketing_rls.sql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di Luca del 23/10 alle 15:24 (</w:t>
            </w:r>
            <w:r>
              <w:rPr>
                <w:rFonts w:ascii="Arial" w:cs="Arial" w:eastAsia="Arial" w:hAnsi="Arial"/>
                <w:b/>
                <w:bCs/>
                <w:color w:val="1B2118"/>
                <w:sz w:val="18"/>
                <w:szCs w:val="18"/>
              </w:rPr>
              <w:t xml:space="preserve">eseguito in produzione il 23/10/2026 alle 15:50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rifiuta un nuovo Rapporto di Monitoraggio se il Progetto non è registrato (fase 6 completata o </w:t>
            </w:r>
            <w:r>
              <w:rPr>
                <w:rFonts w:ascii="Consolas" w:cs="Consolas" w:eastAsia="Consolas" w:hAnsi="Consolas"/>
                <w:color w:val="2F5D3A"/>
                <w:sz w:val="18"/>
                <w:szCs w:val="18"/>
              </w:rPr>
              <w:t xml:space="preserve">data_registrazione</w:t>
            </w:r>
            <w:r>
              <w:rPr>
                <w:rFonts w:ascii="Arial" w:cs="Arial" w:eastAsia="Arial" w:hAnsi="Arial"/>
                <w:color w:val="1B2118"/>
                <w:sz w:val="18"/>
                <w:szCs w:val="18"/>
              </w:rPr>
              <w:t xml:space="preserve">); il trigger resta solo sull'inserimento (i Rapporti già creati non si toccano). Regole RLS delle 6 tabelle </w:t>
            </w: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con </w:t>
            </w:r>
            <w:r>
              <w:rPr>
                <w:rFonts w:ascii="Consolas" w:cs="Consolas" w:eastAsia="Consolas" w:hAnsi="Consolas"/>
                <w:color w:val="2F5D3A"/>
                <w:sz w:val="18"/>
                <w:szCs w:val="18"/>
              </w:rPr>
              <w:t xml:space="preserve">(select app_is_admin())</w:t>
            </w:r>
            <w:r>
              <w:rPr>
                <w:rFonts w:ascii="Arial" w:cs="Arial" w:eastAsia="Arial" w:hAnsi="Arial"/>
                <w:color w:val="1B2118"/>
                <w:sz w:val="18"/>
                <w:szCs w:val="18"/>
              </w:rPr>
              <w:t xml:space="preserve">, calcolata una volta per lettura (l'elenco di tutti i Comuni superava il tempo massimo); indice </w:t>
            </w:r>
            <w:r>
              <w:rPr>
                <w:rFonts w:ascii="Consolas" w:cs="Consolas" w:eastAsia="Consolas" w:hAnsi="Consolas"/>
                <w:color w:val="2F5D3A"/>
                <w:sz w:val="18"/>
                <w:szCs w:val="18"/>
              </w:rPr>
              <w:t xml:space="preserve">idx_mkt_ente_tipo_denominazione</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t45.sql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44_marketing.sql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(23/10/2026, richiesta di Luca; </w:t>
            </w:r>
            <w:r>
              <w:rPr>
                <w:rFonts w:ascii="Arial" w:cs="Arial" w:eastAsia="Arial" w:hAnsi="Arial"/>
                <w:b/>
                <w:bCs/>
                <w:color w:val="1B2118"/>
                <w:sz w:val="18"/>
                <w:szCs w:val="18"/>
              </w:rPr>
              <w:t xml:space="preserve">eseguito in produzione il 23/10/2026 alle 12:12</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mkt_ente</w:t>
            </w:r>
            <w:r>
              <w:rPr>
                <w:rFonts w:ascii="Arial" w:cs="Arial" w:eastAsia="Arial" w:hAnsi="Arial"/>
                <w:color w:val="1B2118"/>
                <w:sz w:val="18"/>
                <w:szCs w:val="18"/>
              </w:rPr>
              <w:t xml:space="preserve"> (Comuni e gestori: chiave </w:t>
            </w:r>
            <w:r>
              <w:rPr>
                <w:rFonts w:ascii="Consolas" w:cs="Consolas" w:eastAsia="Consolas" w:hAnsi="Consolas"/>
                <w:color w:val="2F5D3A"/>
                <w:sz w:val="18"/>
                <w:szCs w:val="18"/>
              </w:rPr>
              <w:t xml:space="preserve">istat:</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albo:</w:t>
            </w:r>
            <w:r>
              <w:rPr>
                <w:rFonts w:ascii="Arial" w:cs="Arial" w:eastAsia="Arial" w:hAnsi="Arial"/>
                <w:color w:val="1B2118"/>
                <w:sz w:val="18"/>
                <w:szCs w:val="18"/>
              </w:rPr>
              <w:t xml:space="preserve">, regione, provincia, abitanti, PEC, email generica con controllo «non PEC», sito, natura, numero e categorie dell'Albo, attività di raccolta e tariffa, fonti), </w:t>
            </w:r>
            <w:r>
              <w:rPr>
                <w:rFonts w:ascii="Consolas" w:cs="Consolas" w:eastAsia="Consolas" w:hAnsi="Consolas"/>
                <w:color w:val="2F5D3A"/>
                <w:sz w:val="18"/>
                <w:szCs w:val="18"/>
              </w:rPr>
              <w:t xml:space="preserve">mkt_referente</w:t>
            </w:r>
            <w:r>
              <w:rPr>
                <w:rFonts w:ascii="Arial" w:cs="Arial" w:eastAsia="Arial" w:hAnsi="Arial"/>
                <w:color w:val="1B2118"/>
                <w:sz w:val="18"/>
                <w:szCs w:val="18"/>
              </w:rPr>
              <w:t xml:space="preserve"> (sindaco, tributi, ambiente, finanziario, tecnico, direttori, amministratore), </w:t>
            </w:r>
            <w:r>
              <w:rPr>
                <w:rFonts w:ascii="Consolas" w:cs="Consolas" w:eastAsia="Consolas" w:hAnsi="Consolas"/>
                <w:color w:val="2F5D3A"/>
                <w:sz w:val="18"/>
                <w:szCs w:val="18"/>
              </w:rPr>
              <w:t xml:space="preserve">mkt_campagna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mkt_invio</w:t>
            </w:r>
            <w:r>
              <w:rPr>
                <w:rFonts w:ascii="Arial" w:cs="Arial" w:eastAsia="Arial" w:hAnsi="Arial"/>
                <w:color w:val="1B2118"/>
                <w:sz w:val="18"/>
                <w:szCs w:val="18"/>
              </w:rPr>
              <w:t xml:space="preserve"> (un invio per ente con codice casuale, stato, visita, simulazione, richiesta), </w:t>
            </w:r>
            <w:r>
              <w:rPr>
                <w:rFonts w:ascii="Consolas" w:cs="Consolas" w:eastAsia="Consolas" w:hAnsi="Consolas"/>
                <w:color w:val="2F5D3A"/>
                <w:sz w:val="18"/>
                <w:szCs w:val="18"/>
              </w:rPr>
              <w:t xml:space="preserve">mkt_disiscrizione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mkt_richiesta</w:t>
            </w:r>
            <w:r>
              <w:rPr>
                <w:rFonts w:ascii="Arial" w:cs="Arial" w:eastAsia="Arial" w:hAnsi="Arial"/>
                <w:color w:val="1B2118"/>
                <w:sz w:val="18"/>
                <w:szCs w:val="18"/>
              </w:rPr>
              <w:t xml:space="preserve"> (richieste di registrazione dalla pagina /scopri; id uuid per l'audit); RLS solo Amministratori, nessun accesso anonimo; audit di campagne e richieste; </w:t>
            </w:r>
            <w:r>
              <w:rPr>
                <w:rFonts w:ascii="Consolas" w:cs="Consolas" w:eastAsia="Consolas" w:hAnsi="Consolas"/>
                <w:color w:val="2F5D3A"/>
                <w:sz w:val="18"/>
                <w:szCs w:val="18"/>
              </w:rPr>
              <w:t xml:space="preserve">mkt_sembra_pec</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(salta enti senza email e indirizzi disiscritti),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t44.sql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43_valore_progetti.sql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progetti per il cliente (23/10/2026, richiesta di Luca; </w:t>
            </w:r>
            <w:r>
              <w:rPr>
                <w:rFonts w:ascii="Arial" w:cs="Arial" w:eastAsia="Arial" w:hAnsi="Arial"/>
                <w:b/>
                <w:bCs/>
                <w:color w:val="1B2118"/>
                <w:sz w:val="18"/>
                <w:szCs w:val="18"/>
              </w:rPr>
              <w:t xml:space="preserve">eseguito in produzione il 23/10/2026 alle 11:50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pratica.caso_listino</w:t>
            </w:r>
            <w:r>
              <w:rPr>
                <w:rFonts w:ascii="Arial" w:cs="Arial" w:eastAsia="Arial" w:hAnsi="Arial"/>
                <w:color w:val="1B2118"/>
                <w:sz w:val="18"/>
                <w:szCs w:val="18"/>
              </w:rPr>
              <w:t xml:space="preserve"> ('caso1' / 'caso2', solo Progetti, null = da indicare);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salvano il caso (messaggio italiano per valori non ammessi); </w:t>
            </w:r>
            <w:r>
              <w:rPr>
                <w:rFonts w:ascii="Consolas" w:cs="Consolas" w:eastAsia="Consolas" w:hAnsi="Consolas"/>
                <w:color w:val="2F5D3A"/>
                <w:sz w:val="18"/>
                <w:szCs w:val="18"/>
              </w:rPr>
              <w:t xml:space="preserve">scenario_simulazione.costo_cliente_totale</w:t>
            </w:r>
            <w:r>
              <w:rPr>
                <w:rFonts w:ascii="Arial" w:cs="Arial" w:eastAsia="Arial" w:hAnsi="Arial"/>
                <w:color w:val="1B2118"/>
                <w:sz w:val="18"/>
                <w:szCs w:val="18"/>
              </w:rPr>
              <w:t xml:space="preserve"> (salvato dal simulatore con il Caso 1 o 2); </w:t>
            </w:r>
            <w:r>
              <w:rPr>
                <w:rFonts w:ascii="Consolas" w:cs="Consolas" w:eastAsia="Consolas" w:hAnsi="Consolas"/>
                <w:color w:val="2F5D3A"/>
                <w:sz w:val="18"/>
                <w:szCs w:val="18"/>
              </w:rPr>
              <w:t xml:space="preserve">cruscotto_valore_progetti()</w:t>
            </w:r>
            <w:r>
              <w:rPr>
                <w:rFonts w:ascii="Arial" w:cs="Arial" w:eastAsia="Arial" w:hAnsi="Arial"/>
                <w:color w:val="1B2118"/>
                <w:sz w:val="18"/>
                <w:szCs w:val="18"/>
              </w:rPr>
              <w:t xml:space="preserve"> (ultimo scenario per Comune ed elenco dei Progetti aperti con caso, popolazione e periodo; staff tutto, Comuni i propri). Prova </w:t>
            </w:r>
            <w:r>
              <w:rPr>
                <w:rFonts w:ascii="Consolas" w:cs="Consolas" w:eastAsia="Consolas" w:hAnsi="Consolas"/>
                <w:color w:val="2F5D3A"/>
                <w:sz w:val="18"/>
                <w:szCs w:val="18"/>
              </w:rPr>
              <w:t xml:space="preserve">t43.sql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w:t>
            </w:r>
            <w:r>
              <w:rPr>
                <w:rFonts w:ascii="Arial" w:cs="Arial" w:eastAsia="Arial" w:hAnsi="Arial"/>
                <w:b/>
                <w:bCs/>
                <w:color w:val="1B2118"/>
                <w:sz w:val="18"/>
                <w:szCs w:val="18"/>
              </w:rPr>
              <w:t xml:space="preserve">eseguito in produzione il 23/10/2026 alle 11:10</w:t>
            </w:r>
            <w:r>
              <w:rPr>
                <w:rFonts w:ascii="Arial" w:cs="Arial" w:eastAsia="Arial" w:hAnsi="Arial"/>
                <w:color w:val="1B2118"/>
                <w:sz w:val="18"/>
                <w:szCs w:val="18"/>
              </w:rPr>
              <w:t xml:space="preserve">):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2492"/>
        <w:gridCol w:w="2492"/>
        <w:gridCol w:w="2491"/>
      </w:tblGrid>
      <w:tr>
        <w:trPr>
          <w:tblHeader/>
        </w:trPr>
        <w:tc>
          <w:tcPr>
            <w:tcW w:type="dxa" w:w="2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(23/10/2026, script 44). Azioni degli Amministratori: </w:t>
            </w:r>
            <w:r>
              <w:rPr>
                <w:rFonts w:ascii="Consolas" w:cs="Consolas" w:eastAsia="Consolas" w:hAnsi="Consolas"/>
                <w:color w:val="2F5D3A"/>
                <w:sz w:val="18"/>
                <w:szCs w:val="18"/>
              </w:rPr>
              <w:t xml:space="preserve">importa_comuni</w:t>
            </w:r>
            <w:r>
              <w:rPr>
                <w:rFonts w:ascii="Arial" w:cs="Arial" w:eastAsia="Arial" w:hAnsi="Arial"/>
                <w:color w:val="1B2118"/>
                <w:sz w:val="18"/>
                <w:szCs w:val="18"/>
              </w:rPr>
              <w:t xml:space="preserve"> (elenco ISTAT da </w:t>
            </w:r>
            <w:r>
              <w:rPr>
                <w:rFonts w:ascii="Consolas" w:cs="Consolas" w:eastAsia="Consolas" w:hAnsi="Consolas"/>
                <w:color w:val="2F5D3A"/>
                <w:sz w:val="18"/>
                <w:szCs w:val="18"/>
              </w:rPr>
              <w:t xml:space="preserve">public/marketing/dati/comuni_istat.json</w:t>
            </w:r>
            <w:r>
              <w:rPr>
                <w:rFonts w:ascii="Arial" w:cs="Arial" w:eastAsia="Arial" w:hAnsi="Arial"/>
                <w:color w:val="1B2118"/>
                <w:sz w:val="18"/>
                <w:szCs w:val="18"/>
              </w:rPr>
              <w:t xml:space="preserve">, poi IndicePA: PEC, email generica, sito, sindaco; uffici di tributi, ambiente, finanziario e tecnico a blocchi), </w:t>
            </w:r>
            <w:r>
              <w:rPr>
                <w:rFonts w:ascii="Consolas" w:cs="Consolas" w:eastAsia="Consolas" w:hAnsi="Consolas"/>
                <w:color w:val="2F5D3A"/>
                <w:sz w:val="18"/>
                <w:szCs w:val="18"/>
              </w:rPr>
              <w:t xml:space="preserve">importa_albo</w:t>
            </w:r>
            <w:r>
              <w:rPr>
                <w:rFonts w:ascii="Arial" w:cs="Arial" w:eastAsia="Arial" w:hAnsi="Arial"/>
                <w:color w:val="1B2118"/>
                <w:sz w:val="18"/>
                <w:szCs w:val="18"/>
              </w:rPr>
              <w:t xml:space="preserve"> (iscritti all'Albo Gestori Ambientali per sezione regionale, solo categoria 1 ordinaria; PEC ed email dei gestori pubblici da IndicePA), </w:t>
            </w:r>
            <w:r>
              <w:rPr>
                <w:rFonts w:ascii="Consolas" w:cs="Consolas" w:eastAsia="Consolas" w:hAnsi="Consolas"/>
                <w:color w:val="2F5D3A"/>
                <w:sz w:val="18"/>
                <w:szCs w:val="18"/>
              </w:rPr>
              <w:t xml:space="preserve">prova_campagna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invia_campagna</w:t>
            </w:r>
            <w:r>
              <w:rPr>
                <w:rFonts w:ascii="Arial" w:cs="Arial" w:eastAsia="Arial" w:hAnsi="Arial"/>
                <w:color w:val="1B2118"/>
                <w:sz w:val="18"/>
                <w:szCs w:val="18"/>
              </w:rPr>
              <w:t xml:space="preserve"> (a blocchi di 50, solo email generiche, intestazione List-Unsubscribe). Azioni pubbliche della pagina /scopri: </w:t>
            </w:r>
            <w:r>
              <w:rPr>
                <w:rFonts w:ascii="Consolas" w:cs="Consolas" w:eastAsia="Consolas" w:hAnsi="Consolas"/>
                <w:color w:val="2F5D3A"/>
                <w:sz w:val="18"/>
                <w:szCs w:val="18"/>
              </w:rPr>
              <w:t xml:space="preserve">visita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simulata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disiscrivi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richiesta</w:t>
            </w:r>
            <w:r>
              <w:rPr>
                <w:rFonts w:ascii="Arial" w:cs="Arial" w:eastAsia="Arial" w:hAnsi="Arial"/>
                <w:color w:val="1B2118"/>
                <w:sz w:val="18"/>
                <w:szCs w:val="18"/>
              </w:rPr>
              <w:t xml:space="preserve"> (campo trappola, 3 richieste all'ora per email e 30 in tutto, notifica ed email a tutti gli Amministratori)</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(pagina pubblica): le azioni riservate controllano da sole token e ruolo Amministratore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Pubblicata il 23/10/2026 alle 12:15 (OK di Luca), Verify JWT disattivato; aggiornata alle 12:25 e 12:35 (correzioni dell'importazione). Segreti: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già presente,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facoltativi. Dal 25/10 anche l'azione </w:t>
            </w:r>
            <w:r>
              <w:rPr>
                <w:rFonts w:ascii="Consolas" w:cs="Consolas" w:eastAsia="Consolas" w:hAnsi="Consolas"/>
                <w:color w:val="2F5D3A"/>
                <w:sz w:val="18"/>
                <w:szCs w:val="18"/>
              </w:rPr>
              <w:t xml:space="preserve">leggi_siti</w:t>
            </w:r>
            <w:r>
              <w:rPr>
                <w:rFonts w:ascii="Arial" w:cs="Arial" w:eastAsia="Arial" w:hAnsi="Arial"/>
                <w:color w:val="1B2118"/>
                <w:sz w:val="18"/>
                <w:szCs w:val="18"/>
              </w:rPr>
              <w:t xml:space="preserve"> (lettore dei siti, regole fisse, nessun servizio a pagamento), chiamata ogni 30 secondi dal lavoro pianificato con il codice segreto quando la lettura è accesa; ripubblicata alle 11:45 e 11:52</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3863"/>
        <w:gridCol w:w="264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38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6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«Approfondisci» delle campagne: presentazione, micro simulazione di costi e ricavi (7, 10 o 21 anni, Caso 1 o 2), fascicolo PDF, richiesta di registrazione; pagina per non ricevere altre comunicazioni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 (codice casuale dell'invio nel collegamento)</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Comuni, Gestori, Campagne, Richieste, Importazioni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23/10),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crediti/{ImportaTracciato,RegistroCrediti,TabellaDati,UtenzeCalcolo}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ValoreCrediti</w:t>
      </w:r>
      <w:r>
        <w:rPr>
          <w:rFonts w:ascii="Arial" w:cs="Arial" w:eastAsia="Arial" w:hAnsi="Arial"/>
          <w:color w:val="1B2118"/>
          <w:sz w:val="21"/>
          <w:szCs w:val="21"/>
        </w:rPr>
        <w:t xml:space="preserve"> (valore dei crediti in Dashboard e Le mie pratiche), </w:t>
      </w:r>
      <w:r>
        <w:rPr>
          <w:rFonts w:ascii="Consolas" w:cs="Consolas" w:eastAsia="Consolas" w:hAnsi="Consolas"/>
          <w:color w:val="2F5D3A"/>
          <w:sz w:val="21"/>
          <w:szCs w:val="21"/>
        </w:rPr>
        <w:t xml:space="preserve">impostazioni/PrezzoRiferimento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marketing/{ElencoEnti,Campagne,Richieste,Importazioni}</w:t>
      </w:r>
      <w:r>
        <w:rPr>
          <w:rFonts w:ascii="Arial" w:cs="Arial" w:eastAsia="Arial" w:hAnsi="Arial"/>
          <w:color w:val="1B2118"/>
          <w:sz w:val="21"/>
          <w:szCs w:val="21"/>
        </w:rPr>
        <w:t xml:space="preserve"> (sezione Marketing).</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crediti/{bancaDatiUtenze,utenzeCalcolo}.js</w:t>
      </w:r>
      <w:r>
        <w:rPr>
          <w:rFonts w:ascii="Arial" w:cs="Arial" w:eastAsia="Arial" w:hAnsi="Arial"/>
          <w:color w:val="1B2118"/>
          <w:sz w:val="21"/>
          <w:szCs w:val="21"/>
        </w:rPr>
        <w:t xml:space="preserve"> (Banca Dati Utenze per utenza),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 </w:t>
      </w:r>
      <w:r>
        <w:rPr>
          <w:rFonts w:ascii="Consolas" w:cs="Consolas" w:eastAsia="Consolas" w:hAnsi="Consolas"/>
          <w:color w:val="2F5D3A"/>
          <w:sz w:val="21"/>
          <w:szCs w:val="21"/>
        </w:rPr>
        <w:t xml:space="preserve">marketing.js</w:t>
      </w:r>
      <w:r>
        <w:rPr>
          <w:rFonts w:ascii="Arial" w:cs="Arial" w:eastAsia="Arial" w:hAnsi="Arial"/>
          <w:color w:val="1B2118"/>
          <w:sz w:val="21"/>
          <w:szCs w:val="21"/>
        </w:rPr>
        <w:t xml:space="preserve"> (email della campagna, regole di IndicePA, micro simulazione) e </w:t>
      </w:r>
      <w:r>
        <w:rPr>
          <w:rFonts w:ascii="Consolas" w:cs="Consolas" w:eastAsia="Consolas" w:hAnsi="Consolas"/>
          <w:color w:val="2F5D3A"/>
          <w:sz w:val="21"/>
          <w:szCs w:val="21"/>
        </w:rPr>
        <w:t xml:space="preserve">marketingDati.js</w:t>
      </w:r>
      <w:r>
        <w:rPr>
          <w:rFonts w:ascii="Arial" w:cs="Arial" w:eastAsia="Arial" w:hAnsi="Arial"/>
          <w:color w:val="1B2118"/>
          <w:sz w:val="21"/>
          <w:szCs w:val="21"/>
        </w:rPr>
        <w:t xml:space="preserve"> (dati del Marketing).</w:t>
      </w:r>
    </w:p>
    <w:p>
      <w:pPr>
        <w:pStyle w:val="ListParagraph"/>
        <w:numPr>
          <w:ilvl w:val="0"/>
          <w:numId w:val="3"/>
        </w:numPr>
        <w:spacing w:after="70" w:line="290"/>
      </w:pPr>
      <w:r>
        <w:rPr>
          <w:rFonts w:ascii="Consolas" w:cs="Consolas" w:eastAsia="Consolas" w:hAnsi="Consolas"/>
          <w:color w:val="2F5D3A"/>
          <w:sz w:val="21"/>
          <w:szCs w:val="21"/>
        </w:rPr>
        <w:t xml:space="preserve">public/marketing/</w:t>
      </w:r>
      <w:r>
        <w:rPr>
          <w:rFonts w:ascii="Arial" w:cs="Arial" w:eastAsia="Arial" w:hAnsi="Arial"/>
          <w:color w:val="1B2118"/>
          <w:sz w:val="21"/>
          <w:szCs w:val="21"/>
        </w:rPr>
        <w:t xml:space="preserve"> — grafiche delle campagne, fascicolo informativo PDF (</w:t>
      </w:r>
      <w:r>
        <w:rPr>
          <w:rFonts w:ascii="Consolas" w:cs="Consolas" w:eastAsia="Consolas" w:hAnsi="Consolas"/>
          <w:color w:val="2F5D3A"/>
          <w:sz w:val="21"/>
          <w:szCs w:val="21"/>
        </w:rPr>
        <w:t xml:space="preserve">strumenti/genera_fascicolo_marketing.mjs</w:t>
      </w:r>
      <w:r>
        <w:rPr>
          <w:rFonts w:ascii="Arial" w:cs="Arial" w:eastAsia="Arial" w:hAnsi="Arial"/>
          <w:color w:val="1B2118"/>
          <w:sz w:val="21"/>
          <w:szCs w:val="21"/>
        </w:rPr>
        <w:t xml:space="preserve">), elenco ISTAT dei Comuni.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dei collaudi, dell'assistente, delle notizie, dei rilievi N, della Banca Dati Utenze e delle utenze nel calcolo e del Marketing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20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26/10/2026)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8"/>
        <w:gridCol w:w="2162"/>
        <w:gridCol w:w="4788"/>
      </w:tblGrid>
      <w:tr>
        <w:trPr>
          <w:tblHeader/>
        </w:trPr>
        <w:tc>
          <w:tcPr>
            <w:tcW w:type="dxa" w:w="26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7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 Dal 23/10 il Rapporto si crea solo per un Progetto registrato (fase 6 completata, script 45); dal 25/10 il listino Caso 1 / Caso 2 è obbligatorio per ogni Progetto (script 47)</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e valore dei progetti per il cliente (Caso 1 / Caso 2), anche per i Comuni, solo i propri; ricerca, azioni con motivazione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(richiesta del 23/10)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(in produzione dal 23/10)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Banche dati di tutti i Comuni (ISTAT + IndicePA) e dei gestori dell'Albo in categoria 1 con PEC, email generica e referenti; campagne email con grafica verso i destinatari scelti (solo email generiche, mai PEC), pagina pubblica /scopri con micro simulazione, fascicolo PDF e richiesta di registrazione a tutti gli Amministratori. Banche dati caricate il 23/10: 7.904 Comuni e 5.818 gestori in categoria 1. Dal 25/10 lettura automatica e gratuita dei siti (script 46): al 26/10 7.904 Comuni con 6.182 email generiche, 7.504 PEC, 3.866 telefoni, email degli uffici tributi o ambiente per 3.092 Comuni; gestori: 166 lombardi delle classi A-C verificati a mano, 135 email generiche. Mancano: dominio email verificato, verifica legale delle email promozionali, sito e recapiti di circa 5.650 gestori senza sito conosciuto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26 ottobre 2026</w:t>
      </w:r>
    </w:p>
    <w:p>
      <w:pPr>
        <w:pStyle w:val="ListParagraph"/>
        <w:numPr>
          <w:ilvl w:val="0"/>
          <w:numId w:val="3"/>
        </w:numPr>
        <w:spacing w:after="70" w:line="290"/>
      </w:pPr>
      <w:r>
        <w:rPr>
          <w:rFonts w:ascii="Arial" w:cs="Arial" w:eastAsia="Arial" w:hAnsi="Arial"/>
          <w:b/>
          <w:bCs/>
          <w:color w:val="1B2118"/>
          <w:sz w:val="21"/>
          <w:szCs w:val="21"/>
        </w:rPr>
        <w:t xml:space="preserve">Dati di prova di Borgoval: simulatore e calcolo dei crediti</w:t>
      </w:r>
      <w:r>
        <w:rPr>
          <w:rFonts w:ascii="Arial" w:cs="Arial" w:eastAsia="Arial" w:hAnsi="Arial"/>
          <w:color w:val="1B2118"/>
          <w:sz w:val="21"/>
          <w:szCs w:val="21"/>
        </w:rPr>
        <w:t xml:space="preserve"> (richiesta di Luca delle 10:07). Fonte: Catasto rifiuti ISPRA 2024 del Comune di Casalmaggiore (CR): 8.877,8 t, differenziata 79,7%; popolazione 15.095 (2025). Le quantità per tipologia sono riportate ai 26.382 abitanti di Borgoval (×1,7477): 14.964,9 t, 567,2 kg/ab, secco 119,6 kg/ab, differenziata 78,9% sulle tipologie CWP (escluse pulizia stradale, selettiva e «altro»; la frazione organica ISPRA comprende il verde).</w:t>
      </w:r>
    </w:p>
    <w:p>
      <w:pPr>
        <w:pStyle w:val="ListParagraph"/>
        <w:numPr>
          <w:ilvl w:val="1"/>
          <w:numId w:val="3"/>
        </w:numPr>
        <w:spacing w:after="70" w:line="290"/>
      </w:pPr>
      <w:r>
        <w:rPr>
          <w:rFonts w:ascii="Arial" w:cs="Arial" w:eastAsia="Arial" w:hAnsi="Arial"/>
          <w:color w:val="1B2118"/>
          <w:sz w:val="20"/>
          <w:szCs w:val="20"/>
        </w:rPr>
        <w:t xml:space="preserve">Scenario «ISPRA Casalmaggiore 2024 - differenziata all'87% (per utenza)», 2027-2036: produzione pro capite invariata, differenziata dal 79,7% del 2027 all'87% del 2036; metodo per utenza (secco e organico misurati, variabilità 30%), buffer 40%; Caso 1, 32 € a credito. Crediti netti da 4.918 (2027) a 6.845 (2036), 58.640 in tutto; ricavi 1.876.352 €, costi 232.162 €, margine positivo ogni anno (1.644.190 €). Con il metodo «bilancio del Comune» i crediti sarebbero quasi zero (spostare il secco nella differenziata a parità di totale non genera crediti).</w:t>
      </w:r>
    </w:p>
    <w:p>
      <w:pPr>
        <w:pStyle w:val="ListParagraph"/>
        <w:numPr>
          <w:ilvl w:val="1"/>
          <w:numId w:val="3"/>
        </w:numPr>
        <w:spacing w:after="70" w:line="290"/>
      </w:pPr>
      <w:r>
        <w:rPr>
          <w:rFonts w:ascii="Arial" w:cs="Arial" w:eastAsia="Arial" w:hAnsi="Arial"/>
          <w:color w:val="1B2118"/>
          <w:sz w:val="20"/>
          <w:szCs w:val="20"/>
        </w:rPr>
        <w:t xml:space="preserve">Calcolo «PROVA Borgoval 2027 - utenze generate (ISPRA Casalmaggiore) - non confermare» (bozza, ex post, Progetto CWP-2026-0001): rifiuti del territorio = scenario di riferimento 2027 al 65%; delibera di prova (PEF 70/30, Kb e Kd indicativi sul modello del DPR 158/1999); 9.000 utenze domestiche UtD1-UtD9000 e 1.778 non domestiche UtND1-UtND1778 (quota non domestica dei rifiuti / produzione media della delibera), con kg e svuotamenti di secco e organico intorno ai valori attesi × rapporto progetto/riferimento dello scenario. Risultato: 7.688 utenze virtuose su 10.778, crediti lordi 5.129,4, buffer 40%, </w:t>
      </w:r>
      <w:r>
        <w:rPr>
          <w:rFonts w:ascii="Arial" w:cs="Arial" w:eastAsia="Arial" w:hAnsi="Arial"/>
          <w:b/>
          <w:bCs/>
          <w:color w:val="1B2118"/>
          <w:sz w:val="20"/>
          <w:szCs w:val="20"/>
        </w:rPr>
        <w:t xml:space="preserve">crediti netti 3.077,7 tCO₂eq</w:t>
      </w:r>
      <w:r>
        <w:rPr>
          <w:rFonts w:ascii="Arial" w:cs="Arial" w:eastAsia="Arial" w:hAnsi="Arial"/>
          <w:color w:val="1B2118"/>
          <w:sz w:val="20"/>
          <w:szCs w:val="20"/>
        </w:rPr>
        <w:t xml:space="preserve"> (98.464 € a 32 €, contro 23.216 € di costi annui del Caso 1). Il simulatore per lo stesso anno stima 4.918 crediti netti: conta le utenze virtuose frazione per frazione, mentre il calcolo compensa in ogni utenza il secco evitato con l'organico in più (differenza da portare alla Fondazione).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strumenti/borgoval_prova.mjs</w:t>
      </w:r>
      <w:r>
        <w:rPr>
          <w:rFonts w:ascii="Arial" w:cs="Arial" w:eastAsia="Arial" w:hAnsi="Arial"/>
          <w:color w:val="1B2118"/>
          <w:sz w:val="20"/>
          <w:szCs w:val="20"/>
        </w:rPr>
        <w:t xml:space="preserve"> → </w:t>
      </w:r>
      <w:r>
        <w:rPr>
          <w:rFonts w:ascii="Consolas" w:cs="Consolas" w:eastAsia="Consolas" w:hAnsi="Consolas"/>
          <w:color w:val="2F5D3A"/>
          <w:sz w:val="20"/>
          <w:szCs w:val="20"/>
        </w:rPr>
        <w:t xml:space="preserve">strumenti/borgoval_prova.sql</w:t>
      </w:r>
      <w:r>
        <w:rPr>
          <w:rFonts w:ascii="Arial" w:cs="Arial" w:eastAsia="Arial" w:hAnsi="Arial"/>
          <w:color w:val="1B2118"/>
          <w:sz w:val="20"/>
          <w:szCs w:val="20"/>
        </w:rPr>
        <w:t xml:space="preserve"> (numeri pseudo-casuali riproducibili, rieseguibile), eseguito in produzione alle 10:21.</w:t>
      </w:r>
    </w:p>
    <w:p>
      <w:pPr>
        <w:pStyle w:val="ListParagraph"/>
        <w:numPr>
          <w:ilvl w:val="0"/>
          <w:numId w:val="3"/>
        </w:numPr>
        <w:spacing w:after="70" w:line="290"/>
      </w:pPr>
      <w:r>
        <w:rPr>
          <w:rFonts w:ascii="Arial" w:cs="Arial" w:eastAsia="Arial" w:hAnsi="Arial"/>
          <w:b/>
          <w:bCs/>
          <w:color w:val="1B2118"/>
          <w:sz w:val="21"/>
          <w:szCs w:val="21"/>
        </w:rPr>
        <w:t xml:space="preserve">Correzione ISS-041 (calcolo con più di 1.000 utenze)</w:t>
      </w:r>
      <w:r>
        <w:rPr>
          <w:rFonts w:ascii="Arial" w:cs="Arial" w:eastAsia="Arial" w:hAnsi="Arial"/>
          <w:color w:val="1B2118"/>
          <w:sz w:val="21"/>
          <w:szCs w:val="21"/>
        </w:rPr>
        <w:t xml:space="preserve">: la prova di Borgoval ha mostrato che il motore leggeva solo le prime 1.000 utenze del passo 5a (limite di righe dell'API di Supabase). </w:t>
      </w:r>
      <w:r>
        <w:rPr>
          <w:rFonts w:ascii="Consolas" w:cs="Consolas" w:eastAsia="Consolas" w:hAnsi="Consolas"/>
          <w:color w:val="2F5D3A"/>
          <w:sz w:val="21"/>
          <w:szCs w:val="21"/>
        </w:rPr>
        <w:t xml:space="preserve">leggiUtenzeCalcolo</w:t>
      </w:r>
      <w:r>
        <w:rPr>
          <w:rFonts w:ascii="Arial" w:cs="Arial" w:eastAsia="Arial" w:hAnsi="Arial"/>
          <w:color w:val="1B2118"/>
          <w:sz w:val="21"/>
          <w:szCs w:val="21"/>
        </w:rPr>
        <w:t xml:space="preserve"> ora legge a blocchi di 1.000 finché arrivano righe (main </w:t>
      </w:r>
      <w:r>
        <w:rPr>
          <w:rFonts w:ascii="Consolas" w:cs="Consolas" w:eastAsia="Consolas" w:hAnsi="Consolas"/>
          <w:color w:val="2F5D3A"/>
          <w:sz w:val="21"/>
          <w:szCs w:val="21"/>
        </w:rPr>
        <w:t xml:space="preserve">c8ab6c8</w:t>
      </w:r>
      <w:r>
        <w:rPr>
          <w:rFonts w:ascii="Arial" w:cs="Arial" w:eastAsia="Arial" w:hAnsi="Arial"/>
          <w:color w:val="1B2118"/>
          <w:sz w:val="21"/>
          <w:szCs w:val="21"/>
        </w:rPr>
        <w:t xml:space="preserve">, in produzione alle 10:25); verificato sul calcolo di Borgoval (10.778 utenze, risultato identico al motore fuori dal portale).</w:t>
      </w:r>
    </w:p>
    <w:p>
      <w:pPr>
        <w:pStyle w:val="ListParagraph"/>
        <w:numPr>
          <w:ilvl w:val="0"/>
          <w:numId w:val="3"/>
        </w:numPr>
        <w:spacing w:after="70" w:line="290"/>
      </w:pPr>
      <w:r>
        <w:rPr>
          <w:rFonts w:ascii="Arial" w:cs="Arial" w:eastAsia="Arial" w:hAnsi="Arial"/>
          <w:b/>
          <w:bCs/>
          <w:color w:val="1B2118"/>
          <w:sz w:val="21"/>
          <w:szCs w:val="21"/>
        </w:rPr>
        <w:t xml:space="preserve">Traccia DPIA della Banca Dati Utenze</w:t>
      </w:r>
      <w:r>
        <w:rPr>
          <w:rFonts w:ascii="Arial" w:cs="Arial" w:eastAsia="Arial" w:hAnsi="Arial"/>
          <w:color w:val="1B2118"/>
          <w:sz w:val="21"/>
          <w:szCs w:val="21"/>
        </w:rPr>
        <w:t xml:space="preserve"> (richiesta di Luca: «puoi scriverla e pubblicarla nell'area admin?»): nuovo documento </w:t>
      </w:r>
      <w:r>
        <w:rPr>
          <w:rFonts w:ascii="Consolas" w:cs="Consolas" w:eastAsia="Consolas" w:hAnsi="Consolas"/>
          <w:color w:val="2F5D3A"/>
          <w:sz w:val="21"/>
          <w:szCs w:val="21"/>
        </w:rPr>
        <w:t xml:space="preserve">docs/dpia.md</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public/documentazione/DPIA_Banca_Dati_Utenze_Portale_CWP.docx</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.pdf</w:t>
      </w:r>
      <w:r>
        <w:rPr>
          <w:rFonts w:ascii="Arial" w:cs="Arial" w:eastAsia="Arial" w:hAnsi="Arial"/>
          <w:color w:val="1B2118"/>
          <w:sz w:val="21"/>
          <w:szCs w:val="21"/>
        </w:rPr>
        <w:t xml:space="preserve"> (rev. 1.0), nell'area Documentazione solo per gli Amministratori, con Word da mandare al Comune. Contiene: perché serve (criteri WP248), dati trattati, ciclo di vita, chi vede cosa, servizi e luogo dei dati (Supabase in Germania; copia di sicurezza su Mac e Google Drive con le utenze), ruoli (Comune titolare, Fondazione responsabile da confermare), base giuridica da completare, proporzionalità con due proposte (pseudonimizzazione: solo codici utenza; conservazione delle utenze), 10 rischi con livello prima e dopo il piano, misure presenti, piano d'azione A1-A12, parere del DPO e approvazione del titolare in bianco. Non è un parere legale. Configurazione in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(«dpia») e </w:t>
      </w:r>
      <w:r>
        <w:rPr>
          <w:rFonts w:ascii="Consolas" w:cs="Consolas" w:eastAsia="Consolas" w:hAnsi="Consolas"/>
          <w:color w:val="2F5D3A"/>
          <w:sz w:val="21"/>
          <w:szCs w:val="21"/>
        </w:rPr>
        <w:t xml:space="preserve">src/pages/Documentazione.jsx</w:t>
      </w:r>
      <w:r>
        <w:rPr>
          <w:rFonts w:ascii="Arial" w:cs="Arial" w:eastAsia="Arial" w:hAnsi="Arial"/>
          <w:color w:val="1B2118"/>
          <w:sz w:val="21"/>
          <w:szCs w:val="21"/>
        </w:rPr>
        <w:t xml:space="preserve">. Verifica: PDF di 22 pagine controllato a schermo, prove e build.</w:t>
      </w:r>
    </w:p>
    <w:p>
      <w:pPr>
        <w:pStyle w:val="ListParagraph"/>
        <w:numPr>
          <w:ilvl w:val="0"/>
          <w:numId w:val="3"/>
        </w:numPr>
        <w:spacing w:after="70" w:line="290"/>
      </w:pPr>
      <w:r>
        <w:rPr>
          <w:rFonts w:ascii="Arial" w:cs="Arial" w:eastAsia="Arial" w:hAnsi="Arial"/>
          <w:b/>
          <w:bCs/>
          <w:color w:val="1B2118"/>
          <w:sz w:val="21"/>
          <w:szCs w:val="21"/>
        </w:rPr>
        <w:t xml:space="preserve">Lettura dei siti: primo giro completo</w:t>
      </w:r>
      <w:r>
        <w:rPr>
          <w:rFonts w:ascii="Arial" w:cs="Arial" w:eastAsia="Arial" w:hAnsi="Arial"/>
          <w:color w:val="1B2118"/>
          <w:sz w:val="21"/>
          <w:szCs w:val="21"/>
        </w:rPr>
        <w:t xml:space="preserve"> (dalle 11:59 del 25/10 alle 04:00 del 26/10, gratuita). Comuni: 5.365 letti, 2.126 non letti (985 siti chiedono ai programmi automatici di non essere letti — robots.txt, rispettato —, 688 senza risposta in tempo, 374 connessioni rifiutate, 96 errori HTTP, 3 letture interrotte). Gestori: 170 letti, 21 non letti. Risultato nelle banche dati: Comuni con email generica da 5.642 a 6.182, con telefono 3.866; dai siti 1.819 referenti «tributi» e 1.210 «ambiente» (email o telefono dell'ufficio; 298 referenti con il nome), 124 amministratori e 36 direttori generali di gestori; 3.092 Comuni con l'email dell'ufficio tributi o ambiente. Alle 08:05 rimessi in coda una volta i 1.162 siti che non avevano risposto (non quelli che rifiutano i programmi automatici).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07:59): Registro (intestazione, funzionalità, «Da fare subito», capitolo 16), manuali, registro issue, istruzioni di ripristino, presentazione (nuova slide «Novità del 25 e 26 ottobre»), base di conoscenza dell'assistente e analisi dei requisiti nel Progetto claude.ai.</w:t>
      </w:r>
    </w:p>
    <w:p>
      <w:pPr>
        <w:pStyle w:val="Heading2"/>
        <w:keepNext/>
        <w:spacing w:after="120" w:before="240"/>
      </w:pPr>
      <w:r>
        <w:rPr>
          <w:rFonts w:ascii="Arial" w:cs="Arial" w:eastAsia="Arial" w:hAnsi="Arial"/>
          <w:b/>
          <w:bCs/>
          <w:color w:val="2F5D3A"/>
          <w:sz w:val="25"/>
          <w:szCs w:val="25"/>
        </w:rPr>
        <w:t xml:space="preserve">25 ottobre 2026</w:t>
      </w:r>
    </w:p>
    <w:p>
      <w:pPr>
        <w:pStyle w:val="ListParagraph"/>
        <w:numPr>
          <w:ilvl w:val="0"/>
          <w:numId w:val="3"/>
        </w:numPr>
        <w:spacing w:after="70" w:line="290"/>
      </w:pPr>
      <w:r>
        <w:rPr>
          <w:rFonts w:ascii="Arial" w:cs="Arial" w:eastAsia="Arial" w:hAnsi="Arial"/>
          <w:b/>
          <w:bCs/>
          <w:color w:val="1B2118"/>
          <w:sz w:val="21"/>
          <w:szCs w:val="21"/>
        </w:rPr>
        <w:t xml:space="preserve">Scenari del simulatore per i 5 Comuni dei Progetti</w:t>
      </w:r>
      <w:r>
        <w:rPr>
          <w:rFonts w:ascii="Arial" w:cs="Arial" w:eastAsia="Arial" w:hAnsi="Arial"/>
          <w:color w:val="1B2118"/>
          <w:sz w:val="21"/>
          <w:szCs w:val="21"/>
        </w:rPr>
        <w:t xml:space="preserve"> (richiesta di Luca delle 13:23: «popola i dati di simulazione per i comuni mancanti coerente alla metodologia»). Creati alle 13:35 nel SQL Editor, collegati all'organizzazione, con lo stesso motore del Simulatore (calcolati prima in locale, nessun errore nei dati) e la nota del metodo in ogni scenario: Comuni di prova senza dati ISPRA, quindi scenario di riferimento dai valori medi del cluster SOSE 4 della Tabella 3 (Standard 4.8.1, metodo «cluster») × abitanti, riportato al 65% di differenziata; obiettivi −5% rifiuti pro capite e −30% secco al 2036; metodo «bilancio del Comune», buffer 20%, 32 €/credito, Caso 1. Risultati in 10 anni (crediti netti, ricavi, costo per il cliente): Borgoval 7.021,6 / 224.480 € / 232.162 €; del col 1.812,7 / 57.792 € / 76.964 €; vvoli 3.038,3 / 97.056 € / 119.847 €; COLLAUDO V03 A 265,8 / 8.320 € / 12.500 €; B 531,8 / 16.832 € / 23.000 €. Da sostituire con i dati ISPRA dei Comuni quando disponibili.</w:t>
      </w:r>
    </w:p>
    <w:p>
      <w:pPr>
        <w:pStyle w:val="ListParagraph"/>
        <w:numPr>
          <w:ilvl w:val="0"/>
          <w:numId w:val="3"/>
        </w:numPr>
        <w:spacing w:after="70" w:line="290"/>
      </w:pPr>
      <w:r>
        <w:rPr>
          <w:rFonts w:ascii="Arial" w:cs="Arial" w:eastAsia="Arial" w:hAnsi="Arial"/>
          <w:b/>
          <w:bCs/>
          <w:color w:val="1B2118"/>
          <w:sz w:val="21"/>
          <w:szCs w:val="21"/>
        </w:rPr>
        <w:t xml:space="preserve">Abitanti dei 3 Progetti</w:t>
      </w:r>
      <w:r>
        <w:rPr>
          <w:rFonts w:ascii="Arial" w:cs="Arial" w:eastAsia="Arial" w:hAnsi="Arial"/>
          <w:color w:val="1B2118"/>
          <w:sz w:val="21"/>
          <w:szCs w:val="21"/>
        </w:rPr>
        <w:t xml:space="preserve"> (indicati da Luca alle 13:19), inseriti alle 13:20 nel SQL Editor con la motivazione nell'audit «Popolazione residente indicata da Luca Moretti il 25/10/2026»: CWP-2026-0001 26.382, CWP-2026-003 6.811, cwp-026-005 11.414. Con il Caso 1 il valore per il cliente in 10 anni è 232.161,60 €, 76.964,30 € e 119.847,00 €; con i due Progetti di collaudo il «Valore dei progetti» della Dashboard arriva a 464.472,90 €.</w:t>
      </w:r>
    </w:p>
    <w:p>
      <w:pPr>
        <w:pStyle w:val="ListParagraph"/>
        <w:numPr>
          <w:ilvl w:val="0"/>
          <w:numId w:val="3"/>
        </w:numPr>
        <w:spacing w:after="70" w:line="290"/>
      </w:pPr>
      <w:r>
        <w:rPr>
          <w:rFonts w:ascii="Arial" w:cs="Arial" w:eastAsia="Arial" w:hAnsi="Arial"/>
          <w:b/>
          <w:bCs/>
          <w:color w:val="1B2118"/>
          <w:sz w:val="21"/>
          <w:szCs w:val="21"/>
        </w:rPr>
        <w:t xml:space="preserve">Listino obbligatorio</w:t>
      </w:r>
      <w:r>
        <w:rPr>
          <w:rFonts w:ascii="Arial" w:cs="Arial" w:eastAsia="Arial" w:hAnsi="Arial"/>
          <w:color w:val="1B2118"/>
          <w:sz w:val="21"/>
          <w:szCs w:val="21"/>
        </w:rPr>
        <w:t xml:space="preserve"> (richiesta di Luca delle 12:07: «per i dati esistenti imposta a tutti caso 1, poi rendi obbligatoria la selezione del campo per i nuovi inserimenti»). Script 47 in produzione alle 12:15: i 5 Progetti (CWP-2026-0001, CWP-2026-003, cwp-026-005, COLLAUDO-V03-A e -B) a Caso 1, ognuno con la voce di audit «Listino Caso 1 per i Progetti esistenti, indicato da Luca Moretti il 25/10/2026». Il nuovo Progetto aveva già il listino obbligatorio nel modulo; ora anche il database lo impone e nei dati della pratica non c'è più la voce «da indicare». Tre Progetti non hanno ancora gli abitanti (CWP-2026-0001, CWP-2026-003, cwp-026-005): il loro valore per il cliente comparirà quando lo staff li inserisce. Prova </w:t>
      </w:r>
      <w:r>
        <w:rPr>
          <w:rFonts w:ascii="Consolas" w:cs="Consolas" w:eastAsia="Consolas" w:hAnsi="Consolas"/>
          <w:color w:val="2F5D3A"/>
          <w:sz w:val="21"/>
          <w:szCs w:val="21"/>
        </w:rPr>
        <w:t xml:space="preserve">t47.sql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Lettore dei siti di Comuni e gestori</w:t>
      </w:r>
      <w:r>
        <w:rPr>
          <w:rFonts w:ascii="Arial" w:cs="Arial" w:eastAsia="Arial" w:hAnsi="Arial"/>
          <w:color w:val="1B2118"/>
          <w:sz w:val="21"/>
          <w:szCs w:val="21"/>
        </w:rPr>
        <w:t xml:space="preserve"> (richiesta di Luca delle 11:27: «devi cercare nei singoli siti internet di ogni gestore e comune»). Prima versione con Claude per leggere nomi e uffici (stima 40-60 $ una tantum); </w:t>
      </w:r>
      <w:r>
        <w:rPr>
          <w:rFonts w:ascii="Arial" w:cs="Arial" w:eastAsia="Arial" w:hAnsi="Arial"/>
          <w:b/>
          <w:bCs/>
          <w:color w:val="1B2118"/>
          <w:sz w:val="21"/>
          <w:szCs w:val="21"/>
        </w:rPr>
        <w:t xml:space="preserve">Luca ha scelto la versione gratuita</w:t>
      </w:r>
      <w:r>
        <w:rPr>
          <w:rFonts w:ascii="Arial" w:cs="Arial" w:eastAsia="Arial" w:hAnsi="Arial"/>
          <w:color w:val="1B2118"/>
          <w:sz w:val="21"/>
          <w:szCs w:val="21"/>
        </w:rPr>
        <w:t xml:space="preserve"> (11:39): regole fisse nel codice, nessun servizio a pagamento. Ramo </w:t>
      </w:r>
      <w:r>
        <w:rPr>
          <w:rFonts w:ascii="Consolas" w:cs="Consolas" w:eastAsia="Consolas" w:hAnsi="Consolas"/>
          <w:color w:val="2F5D3A"/>
          <w:sz w:val="21"/>
          <w:szCs w:val="21"/>
        </w:rPr>
        <w:t xml:space="preserve">lettore-siti</w:t>
      </w:r>
      <w:r>
        <w:rPr>
          <w:rFonts w:ascii="Arial" w:cs="Arial" w:eastAsia="Arial" w:hAnsi="Arial"/>
          <w:color w:val="1B2118"/>
          <w:sz w:val="21"/>
          <w:szCs w:val="21"/>
        </w:rPr>
        <w:t xml:space="preserve">, main </w:t>
      </w:r>
      <w:r>
        <w:rPr>
          <w:rFonts w:ascii="Consolas" w:cs="Consolas" w:eastAsia="Consolas" w:hAnsi="Consolas"/>
          <w:color w:val="2F5D3A"/>
          <w:sz w:val="21"/>
          <w:szCs w:val="21"/>
        </w:rPr>
        <w:t xml:space="preserve">5be70e1</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cb5c315</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src/lib/marketingLettura.js</w:t>
      </w:r>
      <w:r>
        <w:rPr>
          <w:rFonts w:ascii="Arial" w:cs="Arial" w:eastAsia="Arial" w:hAnsi="Arial"/>
          <w:color w:val="1B2118"/>
          <w:sz w:val="20"/>
          <w:szCs w:val="20"/>
        </w:rPr>
        <w:t xml:space="preserve"> (copiato identico nella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testo dall'HTML, collegamenti utili (contatti, uffici, amministrazione trasparente, organigramma), robots.txt, </w:t>
      </w:r>
      <w:r>
        <w:rPr>
          <w:rFonts w:ascii="Consolas" w:cs="Consolas" w:eastAsia="Consolas" w:hAnsi="Consolas"/>
          <w:color w:val="2F5D3A"/>
          <w:sz w:val="20"/>
          <w:szCs w:val="20"/>
        </w:rPr>
        <w:t xml:space="preserve">estraiDati</w:t>
      </w:r>
      <w:r>
        <w:rPr>
          <w:rFonts w:ascii="Arial" w:cs="Arial" w:eastAsia="Arial" w:hAnsi="Arial"/>
          <w:color w:val="1B2118"/>
          <w:sz w:val="20"/>
          <w:szCs w:val="20"/>
        </w:rPr>
        <w:t xml:space="preserve"> (email generica sul dominio dell'ente, PEC, telefono; Comuni: uffici tributi e ambiente con email, telefono e responsabile dopo «Responsabile:», «Dirigente:»…; gestori: presidente, amministratore, direttori, raccolta, tariffa, Comuni citati) e </w:t>
      </w:r>
      <w:r>
        <w:rPr>
          <w:rFonts w:ascii="Consolas" w:cs="Consolas" w:eastAsia="Consolas" w:hAnsi="Consolas"/>
          <w:color w:val="2F5D3A"/>
          <w:sz w:val="20"/>
          <w:szCs w:val="20"/>
        </w:rPr>
        <w:t xml:space="preserve">controlloEsito</w:t>
      </w:r>
      <w:r>
        <w:rPr>
          <w:rFonts w:ascii="Arial" w:cs="Arial" w:eastAsia="Arial" w:hAnsi="Arial"/>
          <w:color w:val="1B2118"/>
          <w:sz w:val="20"/>
          <w:szCs w:val="20"/>
        </w:rPr>
        <w:t xml:space="preserve"> (solo dati presenti nel testo, PEC separate, fonte = pagina letta).</w:t>
      </w:r>
    </w:p>
    <w:p>
      <w:pPr>
        <w:pStyle w:val="ListParagraph"/>
        <w:numPr>
          <w:ilvl w:val="1"/>
          <w:numId w:val="3"/>
        </w:numPr>
        <w:spacing w:after="70" w:line="290"/>
      </w:pPr>
      <w:r>
        <w:rPr>
          <w:rFonts w:ascii="Arial" w:cs="Arial" w:eastAsia="Arial" w:hAnsi="Arial"/>
          <w:color w:val="1B2118"/>
          <w:sz w:val="20"/>
          <w:szCs w:val="20"/>
        </w:rPr>
        <w:t xml:space="preserve">Script 46 eseguito alle 11:45 (lavoro </w:t>
      </w:r>
      <w:r>
        <w:rPr>
          <w:rFonts w:ascii="Consolas" w:cs="Consolas" w:eastAsia="Consolas" w:hAnsi="Consolas"/>
          <w:color w:val="2F5D3A"/>
          <w:sz w:val="20"/>
          <w:szCs w:val="20"/>
        </w:rPr>
        <w:t xml:space="preserve">cwp_lettura_siti</w:t>
      </w:r>
      <w:r>
        <w:rPr>
          <w:rFonts w:ascii="Arial" w:cs="Arial" w:eastAsia="Arial" w:hAnsi="Arial"/>
          <w:color w:val="1B2118"/>
          <w:sz w:val="20"/>
          <w:szCs w:val="20"/>
        </w:rPr>
        <w:t xml:space="preserve"> ogni 30 secondi, lettura spenta all'inizio); funzione pubblicata; pagina Importazioni con la sezione «Lettura dei siti».</w:t>
      </w:r>
    </w:p>
    <w:p>
      <w:pPr>
        <w:pStyle w:val="ListParagraph"/>
        <w:numPr>
          <w:ilvl w:val="1"/>
          <w:numId w:val="3"/>
        </w:numPr>
        <w:spacing w:after="70" w:line="290"/>
      </w:pPr>
      <w:r>
        <w:rPr>
          <w:rFonts w:ascii="Arial" w:cs="Arial" w:eastAsia="Arial" w:hAnsi="Arial"/>
          <w:color w:val="1B2118"/>
          <w:sz w:val="20"/>
          <w:szCs w:val="20"/>
        </w:rPr>
        <w:t xml:space="preserve">Prova su 11 enti: 8 letti (Lecco: protocollo, PEC, numero verde, email TARI e ambiente; Desio: email tributi ed ecologia; CEM e G.ECO: amministratori), 3 siti non raggiungibili. Due errori corretti subito (email del gestore presa come email del Comune; «Capitale Sociale» letto come nome) e dati sbagliati cancellati. Limite noto: i nomi dei responsabili dei Comuni si trovano di rado con regole fisse.</w:t>
      </w:r>
    </w:p>
    <w:p>
      <w:pPr>
        <w:pStyle w:val="ListParagraph"/>
        <w:numPr>
          <w:ilvl w:val="1"/>
          <w:numId w:val="3"/>
        </w:numPr>
        <w:spacing w:after="70" w:line="290"/>
      </w:pPr>
      <w:r>
        <w:rPr>
          <w:rFonts w:ascii="Arial" w:cs="Arial" w:eastAsia="Arial" w:hAnsi="Arial"/>
          <w:color w:val="1B2118"/>
          <w:sz w:val="20"/>
          <w:szCs w:val="20"/>
        </w:rPr>
        <w:t xml:space="preserve">11:59, OK di Luca: in coda tutti gli enti con sito (7.658), lettura accesa: circa 6 enti al minuto, un giorno circa per finire.</w:t>
      </w:r>
    </w:p>
    <w:p>
      <w:pPr>
        <w:pStyle w:val="ListParagraph"/>
        <w:numPr>
          <w:ilvl w:val="0"/>
          <w:numId w:val="3"/>
        </w:numPr>
        <w:spacing w:after="70" w:line="290"/>
      </w:pPr>
      <w:r>
        <w:rPr>
          <w:rFonts w:ascii="Arial" w:cs="Arial" w:eastAsia="Arial" w:hAnsi="Arial"/>
          <w:b/>
          <w:bCs/>
          <w:color w:val="1B2118"/>
          <w:sz w:val="21"/>
          <w:szCs w:val="21"/>
        </w:rPr>
        <w:t xml:space="preserve">Gestori verificati a mano, secondo lotto</w:t>
      </w:r>
      <w:r>
        <w:rPr>
          <w:rFonts w:ascii="Arial" w:cs="Arial" w:eastAsia="Arial" w:hAnsi="Arial"/>
          <w:color w:val="1B2118"/>
          <w:sz w:val="21"/>
          <w:szCs w:val="21"/>
        </w:rPr>
        <w:t xml:space="preserve">: Lombardia, le 10 imprese rimaste delle classi A-B e le 88 di classe C (ricerca sul web con fonti; scartati i dati incerti: un direttore del 2023, email su domini di altre società, un sito con partita IVA diversa). Caricati 98 gestori: in Lombardia tutte le 166 imprese delle classi A-C sono verificate (39 con raccolta per Comuni, 10 con gestione della tariffa).</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Due segnalazioni di Luca (15:24), corrette e in produzione</w:t>
      </w:r>
      <w:r>
        <w:rPr>
          <w:rFonts w:ascii="Arial" w:cs="Arial" w:eastAsia="Arial" w:hAnsi="Arial"/>
          <w:color w:val="1B2118"/>
          <w:sz w:val="21"/>
          <w:szCs w:val="21"/>
        </w:rPr>
        <w:t xml:space="preserve"> (OK di Luca delle 15:47; ramo </w:t>
      </w:r>
      <w:r>
        <w:rPr>
          <w:rFonts w:ascii="Consolas" w:cs="Consolas" w:eastAsia="Consolas" w:hAnsi="Consolas"/>
          <w:color w:val="2F5D3A"/>
          <w:sz w:val="21"/>
          <w:szCs w:val="21"/>
        </w:rPr>
        <w:t xml:space="preserve">correzioni-rapporto-marketing</w:t>
      </w:r>
      <w:r>
        <w:rPr>
          <w:rFonts w:ascii="Arial" w:cs="Arial" w:eastAsia="Arial" w:hAnsi="Arial"/>
          <w:color w:val="1B2118"/>
          <w:sz w:val="21"/>
          <w:szCs w:val="21"/>
        </w:rPr>
        <w:t xml:space="preserve">, main </w:t>
      </w:r>
      <w:r>
        <w:rPr>
          <w:rFonts w:ascii="Consolas" w:cs="Consolas" w:eastAsia="Consolas" w:hAnsi="Consolas"/>
          <w:color w:val="2F5D3A"/>
          <w:sz w:val="21"/>
          <w:szCs w:val="21"/>
        </w:rPr>
        <w:t xml:space="preserve">1188a51</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i/>
          <w:iCs/>
          <w:color w:val="1B2118"/>
          <w:sz w:val="20"/>
          <w:szCs w:val="20"/>
        </w:rPr>
        <w:t xml:space="preserve">Rapporto di Monitoraggio su un Progetto non registrato</w:t>
      </w:r>
      <w:r>
        <w:rPr>
          <w:rFonts w:ascii="Arial" w:cs="Arial" w:eastAsia="Arial" w:hAnsi="Arial"/>
          <w:color w:val="1B2118"/>
          <w:sz w:val="20"/>
          <w:szCs w:val="20"/>
        </w:rPr>
        <w:t xml:space="preserve"> (ISS-039): il pulsante «+ Rapporto anno N» compare solo con la fase 6 completata (</w:t>
      </w:r>
      <w:r>
        <w:rPr>
          <w:rFonts w:ascii="Consolas" w:cs="Consolas" w:eastAsia="Consolas" w:hAnsi="Consolas"/>
          <w:color w:val="2F5D3A"/>
          <w:sz w:val="20"/>
          <w:szCs w:val="20"/>
        </w:rPr>
        <w:t xml:space="preserve">progettoRegistrato</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dati.js</w:t>
      </w:r>
      <w:r>
        <w:rPr>
          <w:rFonts w:ascii="Arial" w:cs="Arial" w:eastAsia="Arial" w:hAnsi="Arial"/>
          <w:color w:val="1B2118"/>
          <w:sz w:val="20"/>
          <w:szCs w:val="20"/>
        </w:rPr>
        <w:t xml:space="preserve">, riga di spiegazione in </w:t>
      </w:r>
      <w:r>
        <w:rPr>
          <w:rFonts w:ascii="Consolas" w:cs="Consolas" w:eastAsia="Consolas" w:hAnsi="Consolas"/>
          <w:color w:val="2F5D3A"/>
          <w:sz w:val="20"/>
          <w:szCs w:val="20"/>
        </w:rPr>
        <w:t xml:space="preserve">Rapporti.jsx</w:t>
      </w:r>
      <w:r>
        <w:rPr>
          <w:rFonts w:ascii="Arial" w:cs="Arial" w:eastAsia="Arial" w:hAnsi="Arial"/>
          <w:color w:val="1B2118"/>
          <w:sz w:val="20"/>
          <w:szCs w:val="20"/>
        </w:rPr>
        <w:t xml:space="preserve">); il database rifiuta comunque l'inserimento (script 45). In produzione esistono già due Rapporti creati prima della registrazione del Progetto: CWP-2026-0001-RM1 e CWP-2026-003-RM1 (dati di collaudo): non toccati, la decisione è di Luca.</w:t>
      </w:r>
    </w:p>
    <w:p>
      <w:pPr>
        <w:pStyle w:val="ListParagraph"/>
        <w:numPr>
          <w:ilvl w:val="1"/>
          <w:numId w:val="3"/>
        </w:numPr>
        <w:spacing w:after="70" w:line="290"/>
      </w:pPr>
      <w:r>
        <w:rPr>
          <w:rFonts w:ascii="Arial" w:cs="Arial" w:eastAsia="Arial" w:hAnsi="Arial"/>
          <w:i/>
          <w:iCs/>
          <w:color w:val="1B2118"/>
          <w:sz w:val="20"/>
          <w:szCs w:val="20"/>
        </w:rPr>
        <w:t xml:space="preserve">Marketing: «0 Comuni» senza filtri</w:t>
      </w:r>
      <w:r>
        <w:rPr>
          <w:rFonts w:ascii="Arial" w:cs="Arial" w:eastAsia="Arial" w:hAnsi="Arial"/>
          <w:color w:val="1B2118"/>
          <w:sz w:val="20"/>
          <w:szCs w:val="20"/>
        </w:rPr>
        <w:t xml:space="preserve"> (ISS-040): la lettura di tutti i 7.904 Comuni superava il tempo massimo perché la regola RLS valutava </w:t>
      </w:r>
      <w:r>
        <w:rPr>
          <w:rFonts w:ascii="Consolas" w:cs="Consolas" w:eastAsia="Consolas" w:hAnsi="Consolas"/>
          <w:color w:val="2F5D3A"/>
          <w:sz w:val="20"/>
          <w:szCs w:val="20"/>
        </w:rPr>
        <w:t xml:space="preserve">app_is_admin()</w:t>
      </w:r>
      <w:r>
        <w:rPr>
          <w:rFonts w:ascii="Arial" w:cs="Arial" w:eastAsia="Arial" w:hAnsi="Arial"/>
          <w:color w:val="1B2118"/>
          <w:sz w:val="20"/>
          <w:szCs w:val="20"/>
        </w:rPr>
        <w:t xml:space="preserve"> riga per riga. Script 45: regola calcolata una volta per lettura. Verifica in produzione come Amministratore (transazione annullata): conteggio di tutti i Comuni 44 ms, prima pagina 3 ms.</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t45.sql</w:t>
      </w:r>
      <w:r>
        <w:rPr>
          <w:rFonts w:ascii="Arial" w:cs="Arial" w:eastAsia="Arial" w:hAnsi="Arial"/>
          <w:color w:val="1B2118"/>
          <w:sz w:val="20"/>
          <w:szCs w:val="20"/>
        </w:rPr>
        <w:t xml:space="preserve"> (Rapporto rifiutato senza fase 6, accettato dopo; Amministratore vede tutto, Comune e anonimo niente),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invariato, </w:t>
      </w:r>
      <w:r>
        <w:rPr>
          <w:rFonts w:ascii="Consolas" w:cs="Consolas" w:eastAsia="Consolas" w:hAnsi="Consolas"/>
          <w:color w:val="2F5D3A"/>
          <w:sz w:val="20"/>
          <w:szCs w:val="20"/>
        </w:rPr>
        <w:t xml:space="preserve">npm test</w:t>
      </w:r>
      <w:r>
        <w:rPr>
          <w:rFonts w:ascii="Arial" w:cs="Arial" w:eastAsia="Arial" w:hAnsi="Arial"/>
          <w:color w:val="1B2118"/>
          <w:sz w:val="20"/>
          <w:szCs w:val="20"/>
        </w:rPr>
        <w:t xml:space="preserve"> 20 serie; schermata dei Rapporti su computer e telefono.</w:t>
      </w:r>
    </w:p>
    <w:p>
      <w:pPr>
        <w:pStyle w:val="ListParagraph"/>
        <w:numPr>
          <w:ilvl w:val="0"/>
          <w:numId w:val="3"/>
        </w:numPr>
        <w:spacing w:after="70" w:line="290"/>
      </w:pPr>
      <w:r>
        <w:rPr>
          <w:rFonts w:ascii="Arial" w:cs="Arial" w:eastAsia="Arial" w:hAnsi="Arial"/>
          <w:b/>
          <w:bCs/>
          <w:color w:val="1B2118"/>
          <w:sz w:val="21"/>
          <w:szCs w:val="21"/>
        </w:rPr>
        <w:t xml:space="preserve">Marketing: verifica dei gestori sui loro siti, primo lotto</w:t>
      </w:r>
      <w:r>
        <w:rPr>
          <w:rFonts w:ascii="Arial" w:cs="Arial" w:eastAsia="Arial" w:hAnsi="Arial"/>
          <w:color w:val="1B2118"/>
          <w:sz w:val="21"/>
          <w:szCs w:val="21"/>
        </w:rPr>
        <w:t xml:space="preserve"> (richiesta di Luca delle 14:22). Priorità per classe di iscrizione alla categoria 1 (A ≥ 500.000 abitanti … F &lt; 5.000): in Italia A 267, B 356, C 554, D 567, E 918, F 3.156. Primo lotto: Lombardia, classi A e B (78 imprese), ricerca su fonti pubbliche (sito dell'impresa, Amministrazione trasparente, carte dei servizi dei Comuni, bandi TED, notizie) con la fonte di ogni dato; scartati i dati incerti (impresa forse diversa da quella iscritta, email della capogruppo, sito di gruppo, un nome di direttore letto da un documento illeggibile).</w:t>
      </w:r>
    </w:p>
    <w:p>
      <w:pPr>
        <w:pStyle w:val="ListParagraph"/>
        <w:numPr>
          <w:ilvl w:val="1"/>
          <w:numId w:val="3"/>
        </w:numPr>
        <w:spacing w:after="70" w:line="290"/>
      </w:pPr>
      <w:r>
        <w:rPr>
          <w:rFonts w:ascii="Arial" w:cs="Arial" w:eastAsia="Arial" w:hAnsi="Arial"/>
          <w:color w:val="1B2118"/>
          <w:sz w:val="20"/>
          <w:szCs w:val="20"/>
        </w:rPr>
        <w:t xml:space="preserve">Caricate alle 15:15 nel SQL Editor 68 imprese (10 non ricercate per il limite di 200 ricerche web per turno): 22 con raccolta per Comuni, 7 con gestione della tariffa, 22 nuove email generiche, 24 referenti (amministratori, direttori generali e tecnici) con fonte.</w:t>
      </w:r>
    </w:p>
    <w:p>
      <w:pPr>
        <w:pStyle w:val="ListParagraph"/>
        <w:numPr>
          <w:ilvl w:val="1"/>
          <w:numId w:val="3"/>
        </w:numPr>
        <w:spacing w:after="70" w:line="290"/>
      </w:pPr>
      <w:r>
        <w:rPr>
          <w:rFonts w:ascii="Arial" w:cs="Arial" w:eastAsia="Arial" w:hAnsi="Arial"/>
          <w:color w:val="1B2118"/>
          <w:sz w:val="20"/>
          <w:szCs w:val="20"/>
        </w:rPr>
        <w:t xml:space="preserve">Strumento </w:t>
      </w:r>
      <w:r>
        <w:rPr>
          <w:rFonts w:ascii="Consolas" w:cs="Consolas" w:eastAsia="Consolas" w:hAnsi="Consolas"/>
          <w:color w:val="2F5D3A"/>
          <w:sz w:val="20"/>
          <w:szCs w:val="20"/>
        </w:rPr>
        <w:t xml:space="preserve">strumenti/marketing_arricchimento_sql.py</w:t>
      </w:r>
      <w:r>
        <w:rPr>
          <w:rFonts w:ascii="Arial" w:cs="Arial" w:eastAsia="Arial" w:hAnsi="Arial"/>
          <w:color w:val="1B2118"/>
          <w:sz w:val="20"/>
          <w:szCs w:val="20"/>
        </w:rPr>
        <w:t xml:space="preserve"> (risultati JSON → SQL: aggiorna solo i campi trovati, mai PEC nell'email generica, </w:t>
      </w:r>
      <w:r>
        <w:rPr>
          <w:rFonts w:ascii="Consolas" w:cs="Consolas" w:eastAsia="Consolas" w:hAnsi="Consolas"/>
          <w:color w:val="2F5D3A"/>
          <w:sz w:val="20"/>
          <w:szCs w:val="20"/>
        </w:rPr>
        <w:t xml:space="preserve">verificato_il</w:t>
      </w:r>
      <w:r>
        <w:rPr>
          <w:rFonts w:ascii="Arial" w:cs="Arial" w:eastAsia="Arial" w:hAnsi="Arial"/>
          <w:color w:val="1B2118"/>
          <w:sz w:val="20"/>
          <w:szCs w:val="20"/>
        </w:rPr>
        <w:t xml:space="preserve">, fonti e note con le URL); provato sul banco.</w:t>
      </w:r>
    </w:p>
    <w:p>
      <w:pPr>
        <w:pStyle w:val="ListParagraph"/>
        <w:numPr>
          <w:ilvl w:val="1"/>
          <w:numId w:val="3"/>
        </w:numPr>
        <w:spacing w:after="70" w:line="290"/>
      </w:pPr>
      <w:r>
        <w:rPr>
          <w:rFonts w:ascii="Arial" w:cs="Arial" w:eastAsia="Arial" w:hAnsi="Arial"/>
          <w:color w:val="1B2118"/>
          <w:sz w:val="20"/>
          <w:szCs w:val="20"/>
        </w:rPr>
        <w:t xml:space="preserve">Da completare: le 10 imprese lombarde rimaste e, a lotti di circa 70, le classi A-C delle altre regioni (circa 1.100 imprese).</w:t>
      </w:r>
    </w:p>
    <w:p>
      <w:pPr>
        <w:pStyle w:val="ListParagraph"/>
        <w:numPr>
          <w:ilvl w:val="0"/>
          <w:numId w:val="3"/>
        </w:numPr>
        <w:spacing w:after="70" w:line="290"/>
      </w:pPr>
      <w:r>
        <w:rPr>
          <w:rFonts w:ascii="Arial" w:cs="Arial" w:eastAsia="Arial" w:hAnsi="Arial"/>
          <w:b/>
          <w:bCs/>
          <w:color w:val="1B2118"/>
          <w:sz w:val="21"/>
          <w:szCs w:val="21"/>
        </w:rPr>
        <w:t xml:space="preserve">Marketing in produzione</w:t>
      </w:r>
      <w:r>
        <w:rPr>
          <w:rFonts w:ascii="Arial" w:cs="Arial" w:eastAsia="Arial" w:hAnsi="Arial"/>
          <w:color w:val="1B2118"/>
          <w:sz w:val="21"/>
          <w:szCs w:val="21"/>
        </w:rPr>
        <w:t xml:space="preserve"> (OK di Luca delle 12:08).</w:t>
      </w:r>
    </w:p>
    <w:p>
      <w:pPr>
        <w:pStyle w:val="ListParagraph"/>
        <w:numPr>
          <w:ilvl w:val="1"/>
          <w:numId w:val="3"/>
        </w:numPr>
        <w:spacing w:after="70" w:line="290"/>
      </w:pPr>
      <w:r>
        <w:rPr>
          <w:rFonts w:ascii="Arial" w:cs="Arial" w:eastAsia="Arial" w:hAnsi="Arial"/>
          <w:color w:val="1B2118"/>
          <w:sz w:val="20"/>
          <w:szCs w:val="20"/>
        </w:rPr>
        <w:t xml:space="preserve">12:12 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eseguito (avviso del SQL Editor «tabelle senza RLS» confermato con «Run without RLS»: lo script attiva da sé la RLS sulle 6 tabelle, verifica finale «tabelle_marketing_con_rls 6»).</w:t>
      </w:r>
    </w:p>
    <w:p>
      <w:pPr>
        <w:pStyle w:val="ListParagraph"/>
        <w:numPr>
          <w:ilvl w:val="1"/>
          <w:numId w:val="3"/>
        </w:numPr>
        <w:spacing w:after="70" w:line="290"/>
      </w:pPr>
      <w:r>
        <w:rPr>
          <w:rFonts w:ascii="Arial" w:cs="Arial" w:eastAsia="Arial" w:hAnsi="Arial"/>
          <w:color w:val="1B2118"/>
          <w:sz w:val="20"/>
          <w:szCs w:val="20"/>
        </w:rPr>
        <w:t xml:space="preserve">12:15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pubblicata, Verify JWT disattivato; main pubblicato (</w:t>
      </w:r>
      <w:r>
        <w:rPr>
          <w:rFonts w:ascii="Consolas" w:cs="Consolas" w:eastAsia="Consolas" w:hAnsi="Consolas"/>
          <w:color w:val="2F5D3A"/>
          <w:sz w:val="20"/>
          <w:szCs w:val="20"/>
        </w:rPr>
        <w:t xml:space="preserve">41c5883</w:t>
      </w:r>
      <w:r>
        <w:rPr>
          <w:rFonts w:ascii="Arial" w:cs="Arial" w:eastAsia="Arial" w:hAnsi="Arial"/>
          <w:color w:val="1B2118"/>
          <w:sz w:val="20"/>
          <w:szCs w:val="20"/>
        </w:rPr>
        <w:t xml:space="preserve">), Vercel ok.</w:t>
      </w:r>
    </w:p>
    <w:p>
      <w:pPr>
        <w:pStyle w:val="ListParagraph"/>
        <w:numPr>
          <w:ilvl w:val="1"/>
          <w:numId w:val="3"/>
        </w:numPr>
        <w:spacing w:after="70" w:line="290"/>
      </w:pPr>
      <w:r>
        <w:rPr>
          <w:rFonts w:ascii="Arial" w:cs="Arial" w:eastAsia="Arial" w:hAnsi="Arial"/>
          <w:color w:val="1B2118"/>
          <w:sz w:val="20"/>
          <w:szCs w:val="20"/>
        </w:rPr>
        <w:t xml:space="preserve">Primo aggiornamento dei Comuni: ISTAT ok, IndicePA in errore «ON CONFLICT DO UPDATE command cannot affect row a second time»: nella categoria L6 ci sono anche Unioni e Consorzi con il codice ISTAT del Comune sede (8.046 righe, 7.891 codici di Comuni). Correzione: una sola riga per Comune, quella dell'ente «Comune…» (</w:t>
      </w:r>
      <w:r>
        <w:rPr>
          <w:rFonts w:ascii="Consolas" w:cs="Consolas" w:eastAsia="Consolas" w:hAnsi="Consolas"/>
          <w:color w:val="2F5D3A"/>
          <w:sz w:val="20"/>
          <w:szCs w:val="20"/>
        </w:rPr>
        <w:t xml:space="preserve">712b4ab</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La lettura unica degli uffici mandava IndicePA in errore («App offline»): ora a blocchi di 400 Comuni; l'Albo si legge una provincia per chiamata (tempi della funzione) e se IndicePA non risponde i gestori restano salvati (</w:t>
      </w:r>
      <w:r>
        <w:rPr>
          <w:rFonts w:ascii="Consolas" w:cs="Consolas" w:eastAsia="Consolas" w:hAnsi="Consolas"/>
          <w:color w:val="2F5D3A"/>
          <w:sz w:val="20"/>
          <w:szCs w:val="20"/>
        </w:rPr>
        <w:t xml:space="preserve">5ba8eab</w:t>
      </w:r>
      <w:r>
        <w:rPr>
          <w:rFonts w:ascii="Arial" w:cs="Arial" w:eastAsia="Arial" w:hAnsi="Arial"/>
          <w:color w:val="1B2118"/>
          <w:sz w:val="20"/>
          <w:szCs w:val="20"/>
        </w:rPr>
        <w:t xml:space="preserve">). Funzione ripubblicata.</w:t>
      </w:r>
    </w:p>
    <w:p>
      <w:pPr>
        <w:pStyle w:val="ListParagraph"/>
        <w:numPr>
          <w:ilvl w:val="1"/>
          <w:numId w:val="3"/>
        </w:numPr>
        <w:spacing w:after="70" w:line="290"/>
      </w:pPr>
      <w:r>
        <w:rPr>
          <w:rFonts w:ascii="Arial" w:cs="Arial" w:eastAsia="Arial" w:hAnsi="Arial"/>
          <w:color w:val="1B2118"/>
          <w:sz w:val="20"/>
          <w:szCs w:val="20"/>
        </w:rPr>
        <w:t xml:space="preserve">Risultato: </w:t>
      </w:r>
      <w:r>
        <w:rPr>
          <w:rFonts w:ascii="Arial" w:cs="Arial" w:eastAsia="Arial" w:hAnsi="Arial"/>
          <w:b/>
          <w:bCs/>
          <w:color w:val="1B2118"/>
          <w:sz w:val="20"/>
          <w:szCs w:val="20"/>
        </w:rPr>
        <w:t xml:space="preserve">7.904 Comuni</w:t>
      </w:r>
      <w:r>
        <w:rPr>
          <w:rFonts w:ascii="Arial" w:cs="Arial" w:eastAsia="Arial" w:hAnsi="Arial"/>
          <w:color w:val="1B2118"/>
          <w:sz w:val="20"/>
          <w:szCs w:val="20"/>
        </w:rPr>
        <w:t xml:space="preserve"> (7.504 con PEC e legale rappresentante da IndicePA, 5.642 con email generica; referenti: tecnico 5.079, finanziario 3.218, tributi 1.969, ambiente 1.397) e </w:t>
      </w:r>
      <w:r>
        <w:rPr>
          <w:rFonts w:ascii="Arial" w:cs="Arial" w:eastAsia="Arial" w:hAnsi="Arial"/>
          <w:b/>
          <w:bCs/>
          <w:color w:val="1B2118"/>
          <w:sz w:val="20"/>
          <w:szCs w:val="20"/>
        </w:rPr>
        <w:t xml:space="preserve">5.818 gestori</w:t>
      </w:r>
      <w:r>
        <w:rPr>
          <w:rFonts w:ascii="Arial" w:cs="Arial" w:eastAsia="Arial" w:hAnsi="Arial"/>
          <w:color w:val="1B2118"/>
          <w:sz w:val="20"/>
          <w:szCs w:val="20"/>
        </w:rPr>
        <w:t xml:space="preserve"> in categoria 1 ordinaria (145 con PEC e 34 con email generica da IndicePA, i pubblici). Pagina pubblica /scopri, fascicolo e grafiche raggiungibili dal vivo.</w:t>
      </w:r>
    </w:p>
    <w:p>
      <w:pPr>
        <w:pStyle w:val="ListParagraph"/>
        <w:numPr>
          <w:ilvl w:val="0"/>
          <w:numId w:val="3"/>
        </w:numPr>
        <w:spacing w:after="70" w:line="290"/>
      </w:pPr>
      <w:r>
        <w:rPr>
          <w:rFonts w:ascii="Arial" w:cs="Arial" w:eastAsia="Arial" w:hAnsi="Arial"/>
          <w:b/>
          <w:bCs/>
          <w:color w:val="1B2118"/>
          <w:sz w:val="21"/>
          <w:szCs w:val="21"/>
        </w:rPr>
        <w:t xml:space="preserve">Sezione Marketing</w:t>
      </w:r>
      <w:r>
        <w:rPr>
          <w:rFonts w:ascii="Arial" w:cs="Arial" w:eastAsia="Arial" w:hAnsi="Arial"/>
          <w:color w:val="1B2118"/>
          <w:sz w:val="21"/>
          <w:szCs w:val="21"/>
        </w:rPr>
        <w:t xml:space="preserve"> (richiesta di Luca del 23/10; scelte di Luca: gestori = tutta la categoria 1 dell'Albo; nessun invio «a tutti», per ogni campagna si scelgono Comuni e gestori). Ramo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f8d3593</w:t>
      </w:r>
      <w:r>
        <w:rPr>
          <w:rFonts w:ascii="Arial" w:cs="Arial" w:eastAsia="Arial" w:hAnsi="Arial"/>
          <w:color w:val="1B2118"/>
          <w:sz w:val="21"/>
          <w:szCs w:val="21"/>
        </w:rPr>
        <w:t xml:space="preserve"> e seguenti. Dettaglio nel capitolo 16 «Marketing».</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sul banco ricostruito con gli script 01-44: PEC rifiutata nel campo email, enti senza email e indirizzi disiscritti saltati, niente doppioni, campagna inviata bloccata, Comuni e anonimi senza accesso, audit di campagne e richieste). La prova ha trovato un errore: l'audit vuole un id uuid, </w:t>
      </w:r>
      <w:r>
        <w:rPr>
          <w:rFonts w:ascii="Consolas" w:cs="Consolas" w:eastAsia="Consolas" w:hAnsi="Consolas"/>
          <w:color w:val="2F5D3A"/>
          <w:sz w:val="20"/>
          <w:szCs w:val="20"/>
        </w:rPr>
        <w:t xml:space="preserve">mkt_richiesta</w:t>
      </w:r>
      <w:r>
        <w:rPr>
          <w:rFonts w:ascii="Arial" w:cs="Arial" w:eastAsia="Arial" w:hAnsi="Arial"/>
          <w:color w:val="1B2118"/>
          <w:sz w:val="20"/>
          <w:szCs w:val="20"/>
        </w:rPr>
        <w:t xml:space="preserve"> lo aveva numerico; corretto prima del rilascio.</w:t>
      </w:r>
    </w:p>
    <w:p>
      <w:pPr>
        <w:pStyle w:val="ListParagraph"/>
        <w:numPr>
          <w:ilvl w:val="1"/>
          <w:numId w:val="3"/>
        </w:numPr>
        <w:spacing w:after="70" w:line="290"/>
      </w:pPr>
      <w:r>
        <w:rPr>
          <w:rFonts w:ascii="Arial" w:cs="Arial" w:eastAsia="Arial" w:hAnsi="Arial"/>
          <w:color w:val="1B2118"/>
          <w:sz w:val="20"/>
          <w:szCs w:val="20"/>
        </w:rPr>
        <w:t xml:space="preserve">Funzione del server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(importazioni, invio, azioni della pagina pubblica); pagina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(Comuni, Gestori, Campagne, Richieste, Importazioni) e pagina pubblica </w:t>
      </w:r>
      <w:r>
        <w:rPr>
          <w:rFonts w:ascii="Consolas" w:cs="Consolas" w:eastAsia="Consolas" w:hAnsi="Consolas"/>
          <w:color w:val="2F5D3A"/>
          <w:sz w:val="20"/>
          <w:szCs w:val="20"/>
        </w:rPr>
        <w:t xml:space="preserve">/scopri</w:t>
      </w:r>
      <w:r>
        <w:rPr>
          <w:rFonts w:ascii="Arial" w:cs="Arial" w:eastAsia="Arial" w:hAnsi="Arial"/>
          <w:color w:val="1B2118"/>
          <w:sz w:val="20"/>
          <w:szCs w:val="20"/>
        </w:rPr>
        <w:t xml:space="preserve"> con micro simulazione (motore del simulatore), fascicolo PDF (</w:t>
      </w:r>
      <w:r>
        <w:rPr>
          <w:rFonts w:ascii="Consolas" w:cs="Consolas" w:eastAsia="Consolas" w:hAnsi="Consolas"/>
          <w:color w:val="2F5D3A"/>
          <w:sz w:val="20"/>
          <w:szCs w:val="20"/>
        </w:rPr>
        <w:t xml:space="preserve">public/marketing/Fascicolo_Carbon_WastePrint.pdf</w:t>
      </w:r>
      <w:r>
        <w:rPr>
          <w:rFonts w:ascii="Arial" w:cs="Arial" w:eastAsia="Arial" w:hAnsi="Arial"/>
          <w:color w:val="1B2118"/>
          <w:sz w:val="20"/>
          <w:szCs w:val="20"/>
        </w:rPr>
        <w:t xml:space="preserve">, 6 pagine) e richiesta di registrazione; due grafiche per l'intestazione delle email.</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test/marketing.test.mjs</w:t>
      </w:r>
      <w:r>
        <w:rPr>
          <w:rFonts w:ascii="Arial" w:cs="Arial" w:eastAsia="Arial" w:hAnsi="Arial"/>
          <w:color w:val="1B2118"/>
          <w:sz w:val="20"/>
          <w:szCs w:val="20"/>
        </w:rPr>
        <w:t xml:space="preserve"> (8): copie identiche tra portale e funzione, regole PEC uguali al database, email della campagna, controlli e valori noti della micro simulazione (16.735 abitanti, 8.000 t, 2.400 t di secco, 10 anni, Caso 1: 20.445 crediti, ricavi 654.240 €, costi 162.330 €, margine 491.910 €).</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 (nessuno scorrimento orizzontale; corretti la tabella delle Importazioni e il grafico sul telefono).</w:t>
      </w:r>
    </w:p>
    <w:p>
      <w:pPr>
        <w:pStyle w:val="ListParagraph"/>
        <w:numPr>
          <w:ilvl w:val="1"/>
          <w:numId w:val="3"/>
        </w:numPr>
        <w:spacing w:after="70" w:line="290"/>
      </w:pPr>
      <w:r>
        <w:rPr>
          <w:rFonts w:ascii="Arial" w:cs="Arial" w:eastAsia="Arial" w:hAnsi="Arial"/>
          <w:color w:val="1B2118"/>
          <w:sz w:val="20"/>
          <w:szCs w:val="20"/>
        </w:rPr>
        <w:t xml:space="preserve">Rilascio in produzione: voce «Marketing in produzione» qui sopra. Prima degli invii reali: dominio email verificato su Resend e verifica legale delle email promozionali.</w:t>
      </w:r>
    </w:p>
    <w:p>
      <w:pPr>
        <w:pStyle w:val="ListParagraph"/>
        <w:numPr>
          <w:ilvl w:val="0"/>
          <w:numId w:val="3"/>
        </w:numPr>
        <w:spacing w:after="70" w:line="290"/>
      </w:pPr>
      <w:r>
        <w:rPr>
          <w:rFonts w:ascii="Arial" w:cs="Arial" w:eastAsia="Arial" w:hAnsi="Arial"/>
          <w:b/>
          <w:bCs/>
          <w:color w:val="1B2118"/>
          <w:sz w:val="21"/>
          <w:szCs w:val="21"/>
        </w:rPr>
        <w:t xml:space="preserve">Script 34 in produzione</w:t>
      </w:r>
      <w:r>
        <w:rPr>
          <w:rFonts w:ascii="Arial" w:cs="Arial" w:eastAsia="Arial" w:hAnsi="Arial"/>
          <w:color w:val="1B2118"/>
          <w:sz w:val="21"/>
          <w:szCs w:val="21"/>
        </w:rPr>
        <w:t xml:space="preserve"> (OK di Luca delle 11:12). Prima, prova sul banco nello stesso ordine della produzione (script 01-33 e 35-43, poi 34): 95 funzioni SECURITY DEFINER eseguibili senza accesso ridotte alle 9 necessarie (regole di accesso e </w:t>
      </w:r>
      <w:r>
        <w:rPr>
          <w:rFonts w:ascii="Consolas" w:cs="Consolas" w:eastAsia="Consolas" w:hAnsi="Consolas"/>
          <w:color w:val="2F5D3A"/>
          <w:sz w:val="21"/>
          <w:szCs w:val="21"/>
        </w:rPr>
        <w:t xml:space="preserve">registra_accesso_fallito</w:t>
      </w:r>
      <w:r>
        <w:rPr>
          <w:rFonts w:ascii="Arial" w:cs="Arial" w:eastAsia="Arial" w:hAnsi="Arial"/>
          <w:color w:val="1B2118"/>
          <w:sz w:val="21"/>
          <w:szCs w:val="21"/>
        </w:rPr>
        <w:t xml:space="preserve">), script rieseguibile, prove </w:t>
      </w:r>
      <w:r>
        <w:rPr>
          <w:rFonts w:ascii="Consolas" w:cs="Consolas" w:eastAsia="Consolas" w:hAnsi="Consolas"/>
          <w:color w:val="2F5D3A"/>
          <w:sz w:val="21"/>
          <w:szCs w:val="21"/>
        </w:rPr>
        <w:t xml:space="preserve">t34</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t43</w:t>
      </w:r>
      <w:r>
        <w:rPr>
          <w:rFonts w:ascii="Arial" w:cs="Arial" w:eastAsia="Arial" w:hAnsi="Arial"/>
          <w:color w:val="1B2118"/>
          <w:sz w:val="21"/>
          <w:szCs w:val="21"/>
        </w:rPr>
        <w:t xml:space="preserve"> come attese. In produzione alle 12:20 (avviso «operazioni distruttive» confermato: riguarda solo </w:t>
      </w:r>
      <w:r>
        <w:rPr>
          <w:rFonts w:ascii="Consolas" w:cs="Consolas" w:eastAsia="Consolas" w:hAnsi="Consolas"/>
          <w:color w:val="2F5D3A"/>
          <w:sz w:val="21"/>
          <w:szCs w:val="21"/>
        </w:rPr>
        <w:t xml:space="preserve">drop trigger/function if exists</w:t>
      </w:r>
      <w:r>
        <w:rPr>
          <w:rFonts w:ascii="Arial" w:cs="Arial" w:eastAsia="Arial" w:hAnsi="Arial"/>
          <w:color w:val="1B2118"/>
          <w:sz w:val="21"/>
          <w:szCs w:val="21"/>
        </w:rPr>
        <w:t xml:space="preserve">); verifica finale: le stesse 9 funzioni. Portale provato dal vivo: Dashboard, Audit User, Calcolo crediti e pagina pubblica /programma funzionano. Attivi gli avvisi all'Amministratore principale (5 accessi non riusciti in 15 minuti per email, 30 in un'ora, nuovo Amministratore) e il motivo «inattività» nell'uscita.</w:t>
      </w:r>
    </w:p>
    <w:p>
      <w:pPr>
        <w:pStyle w:val="ListParagraph"/>
        <w:numPr>
          <w:ilvl w:val="0"/>
          <w:numId w:val="3"/>
        </w:numPr>
        <w:spacing w:after="70" w:line="290"/>
      </w:pPr>
      <w:r>
        <w:rPr>
          <w:rFonts w:ascii="Arial" w:cs="Arial" w:eastAsia="Arial" w:hAnsi="Arial"/>
          <w:b/>
          <w:bCs/>
          <w:color w:val="1B2118"/>
          <w:sz w:val="21"/>
          <w:szCs w:val="21"/>
        </w:rPr>
        <w:t xml:space="preserve">Colori dello stato delle fasi</w:t>
      </w:r>
      <w:r>
        <w:rPr>
          <w:rFonts w:ascii="Arial" w:cs="Arial" w:eastAsia="Arial" w:hAnsi="Arial"/>
          <w:color w:val="1B2118"/>
          <w:sz w:val="21"/>
          <w:szCs w:val="21"/>
        </w:rPr>
        <w:t xml:space="preserve"> (richiesta di Luca delle 11:00): in </w:t>
      </w:r>
      <w:r>
        <w:rPr>
          <w:rFonts w:ascii="Consolas" w:cs="Consolas" w:eastAsia="Consolas" w:hAnsi="Consolas"/>
          <w:color w:val="2F5D3A"/>
          <w:sz w:val="21"/>
          <w:szCs w:val="21"/>
        </w:rPr>
        <w:t xml:space="preserve">STATI_FASE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scritta verde per Completata, arancio per In corso e In attesa di integrazione, rossa per Non iniziata; valgono per il badge della fase nella pratica e per la colonna «Fase corrente» della Dashboard. Verificato a schermo su computer e telefono. Ramo </w:t>
      </w:r>
      <w:r>
        <w:rPr>
          <w:rFonts w:ascii="Consolas" w:cs="Consolas" w:eastAsia="Consolas" w:hAnsi="Consolas"/>
          <w:color w:val="2F5D3A"/>
          <w:sz w:val="21"/>
          <w:szCs w:val="21"/>
        </w:rPr>
        <w:t xml:space="preserve">colori-stato-fasi</w:t>
      </w:r>
      <w:r>
        <w:rPr>
          <w:rFonts w:ascii="Arial" w:cs="Arial" w:eastAsia="Arial" w:hAnsi="Arial"/>
          <w:color w:val="1B2118"/>
          <w:sz w:val="21"/>
          <w:szCs w:val="21"/>
        </w:rPr>
        <w:t xml:space="preserve">, nessuno script.</w:t>
      </w:r>
    </w:p>
    <w:p>
      <w:pPr>
        <w:pStyle w:val="ListParagraph"/>
        <w:numPr>
          <w:ilvl w:val="0"/>
          <w:numId w:val="3"/>
        </w:numPr>
        <w:spacing w:after="70" w:line="290"/>
      </w:pPr>
      <w:r>
        <w:rPr>
          <w:rFonts w:ascii="Arial" w:cs="Arial" w:eastAsia="Arial" w:hAnsi="Arial"/>
          <w:b/>
          <w:bCs/>
          <w:color w:val="1B2118"/>
          <w:sz w:val="21"/>
          <w:szCs w:val="21"/>
        </w:rPr>
        <w:t xml:space="preserve">Valore dei progetti (quanto paga il cliente) e listino Caso 1 / Caso 2</w:t>
      </w:r>
      <w:r>
        <w:rPr>
          <w:rFonts w:ascii="Arial" w:cs="Arial" w:eastAsia="Arial" w:hAnsi="Arial"/>
          <w:color w:val="1B2118"/>
          <w:sz w:val="21"/>
          <w:szCs w:val="21"/>
        </w:rPr>
        <w:t xml:space="preserve"> (richiesta di Luca delle 10:47). Ramo </w:t>
      </w:r>
      <w:r>
        <w:rPr>
          <w:rFonts w:ascii="Consolas" w:cs="Consolas" w:eastAsia="Consolas" w:hAnsi="Consolas"/>
          <w:color w:val="2F5D3A"/>
          <w:sz w:val="21"/>
          <w:szCs w:val="21"/>
        </w:rPr>
        <w:t xml:space="preserve">valore-progetti-casi</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43_valore_progetti.sql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t43.sql</w:t>
      </w:r>
      <w:r>
        <w:rPr>
          <w:rFonts w:ascii="Arial" w:cs="Arial" w:eastAsia="Arial" w:hAnsi="Arial"/>
          <w:color w:val="1B2118"/>
          <w:sz w:val="20"/>
          <w:szCs w:val="20"/>
        </w:rPr>
        <w:t xml:space="preserve">): caso del listino sul Progetto, creazione e modifica dei dati con il caso, costo del cliente degli scenari, </w:t>
      </w:r>
      <w:r>
        <w:rPr>
          <w:rFonts w:ascii="Consolas" w:cs="Consolas" w:eastAsia="Consolas" w:hAnsi="Consolas"/>
          <w:color w:val="2F5D3A"/>
          <w:sz w:val="20"/>
          <w:szCs w:val="20"/>
        </w:rPr>
        <w:t xml:space="preserve">cruscotto_valore_progetti</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valoreProgettoCaso</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valoreProgetti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simulatore.js</w:t>
      </w:r>
      <w:r>
        <w:rPr>
          <w:rFonts w:ascii="Arial" w:cs="Arial" w:eastAsia="Arial" w:hAnsi="Arial"/>
          <w:color w:val="1B2118"/>
          <w:sz w:val="20"/>
          <w:szCs w:val="20"/>
        </w:rPr>
        <w:t xml:space="preserve"> (somma annua di </w:t>
      </w:r>
      <w:r>
        <w:rPr>
          <w:rFonts w:ascii="Consolas" w:cs="Consolas" w:eastAsia="Consolas" w:hAnsi="Consolas"/>
          <w:color w:val="2F5D3A"/>
          <w:sz w:val="20"/>
          <w:szCs w:val="20"/>
        </w:rPr>
        <w:t xml:space="preserve">costiPerCaso</w:t>
      </w:r>
      <w:r>
        <w:rPr>
          <w:rFonts w:ascii="Arial" w:cs="Arial" w:eastAsia="Arial" w:hAnsi="Arial"/>
          <w:color w:val="1B2118"/>
          <w:sz w:val="20"/>
          <w:szCs w:val="20"/>
        </w:rPr>
        <w:t xml:space="preserve"> × anni del periodo; 7 anni = stima), prove </w:t>
      </w:r>
      <w:r>
        <w:rPr>
          <w:rFonts w:ascii="Consolas" w:cs="Consolas" w:eastAsia="Consolas" w:hAnsi="Consolas"/>
          <w:color w:val="2F5D3A"/>
          <w:sz w:val="20"/>
          <w:szCs w:val="20"/>
        </w:rPr>
        <w:t xml:space="preserve">test/valoreProgetti.test.mjs</w:t>
      </w:r>
      <w:r>
        <w:rPr>
          <w:rFonts w:ascii="Arial" w:cs="Arial" w:eastAsia="Arial" w:hAnsi="Arial"/>
          <w:color w:val="1B2118"/>
          <w:sz w:val="20"/>
          <w:szCs w:val="20"/>
        </w:rPr>
        <w:t xml:space="preserve"> (4; Caso 1 a 16.735 ab. = 16.232,95 €/anno come nel rilievo N01).</w:t>
      </w:r>
    </w:p>
    <w:p>
      <w:pPr>
        <w:pStyle w:val="ListParagraph"/>
        <w:numPr>
          <w:ilvl w:val="1"/>
          <w:numId w:val="3"/>
        </w:numPr>
        <w:spacing w:after="70" w:line="290"/>
      </w:pPr>
      <w:r>
        <w:rPr>
          <w:rFonts w:ascii="Arial" w:cs="Arial" w:eastAsia="Arial" w:hAnsi="Arial"/>
          <w:color w:val="1B2118"/>
          <w:sz w:val="20"/>
          <w:szCs w:val="20"/>
        </w:rPr>
        <w:t xml:space="preserve">Nuovo progetto: listino obbligatorio con il valore del progetto; dati della pratica: riga «Listino» e «Valore del progetto per il cliente», listino modificabile; Dashboard e «Le mie pratiche»: terzo riquadro «Valore dei progetti (quanto paga il cliente)»; Simulatore: salva quanto paga il cliente con il Caso 1 o 2.</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11:50-12:00: script 43 eseguito («colonna caso 1, colonna costo 1, progetti da indicare 5»), main pubblicato (</w:t>
      </w:r>
      <w:r>
        <w:rPr>
          <w:rFonts w:ascii="Consolas" w:cs="Consolas" w:eastAsia="Consolas" w:hAnsi="Consolas"/>
          <w:color w:val="2F5D3A"/>
          <w:sz w:val="20"/>
          <w:szCs w:val="20"/>
        </w:rPr>
        <w:t xml:space="preserve">5d0f014</w:t>
      </w:r>
      <w:r>
        <w:rPr>
          <w:rFonts w:ascii="Arial" w:cs="Arial" w:eastAsia="Arial" w:hAnsi="Arial"/>
          <w:color w:val="1B2118"/>
          <w:sz w:val="20"/>
          <w:szCs w:val="20"/>
        </w:rPr>
        <w:t xml:space="preserve">). Dashboard dal vivo: riquadro «Valore dei progetti» a 0 €, perché i 5 Progetti esistenti (anche di collaudo) hanno il listino «da indicare»: lo sceglie lo staff nei dati di ogni pratica (nessuna modifica automatica dei dati).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10:45): intestazione del Registro, dati personali, «Da fare subito» (script 34 verificato non eseguito in produzione), struttura del codice, tabelle, manuali; nuova slide «Novità del 22 e 23 ottobre» nella presentazione.</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11:10-11:20: script 42 eseguito («colonna 1, prezzo 32, funzioni 2»), main pubblicato (</w:t>
      </w:r>
      <w:r>
        <w:rPr>
          <w:rFonts w:ascii="Consolas" w:cs="Consolas" w:eastAsia="Consolas" w:hAnsi="Consolas"/>
          <w:color w:val="2F5D3A"/>
          <w:sz w:val="20"/>
          <w:szCs w:val="20"/>
        </w:rPr>
        <w:t xml:space="preserve">2b4aa35</w:t>
      </w:r>
      <w:r>
        <w:rPr>
          <w:rFonts w:ascii="Arial" w:cs="Arial" w:eastAsia="Arial" w:hAnsi="Arial"/>
          <w:color w:val="1B2118"/>
          <w:sz w:val="20"/>
          <w:szCs w:val="20"/>
        </w:rPr>
        <w:t xml:space="preserve">). Dashboard dal vivo: in simulazione 3 Comuni, 11.245,8 crediti, € 359.866 (tutti e 3 gli scenari valorizzati a 32 €, perché salvati prima di oggi); in fase esecutiva nessun calcolo ex post confermato valido, nessun lotto.</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84"/>
        <w:gridCol w:w="3427"/>
        <w:gridCol w:w="3427"/>
      </w:tblGrid>
      <w:tr>
        <w:trPr>
          <w:tblHeader/>
        </w:trPr>
        <w:tc>
          <w:tcPr>
            <w:tcW w:type="dxa" w:w="2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6u_prsy8pylyvp7koeb4w">
              <w:r>
                <w:rPr>
                  <w:rFonts w:ascii="Arial" w:cs="Arial" w:eastAsia="Arial" w:hAnsi="Arial"/>
                  <w:color w:val="2F5D3A"/>
                  <w:sz w:val="18"/>
                  <w:szCs w:val="18"/>
                  <w:u w:val="single"/>
                </w:rPr>
                <w:t xml:space="preserve">https://claude.ai/artifact/L9duSXhNfKejbz6RKXDQQv</w:t>
              </w:r>
            </w:hyperlink>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4cipxnxbkjwqa0iesundh">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qmenqrp0kwiaue4ptlfxd">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_l3dm0t3dp3htlbwv2k_9">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 DPIA della Banca Dati Utenze in Word/PDF (dal 26/10/2026)</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docs/dpia.md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public/documentazione/DPIA_Banca_Dati_Utenze_Portale_CWP.docx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Valutazione d'impatto (art. 35 GDPR) da completare dal Comune e dal suo DPO prima di caricare utenze reali; si aggiorna quando cambia il trattamento delle utenze</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26/10/2026)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color w:val="1B2118"/>
          <w:sz w:val="21"/>
          <w:szCs w:val="21"/>
        </w:rPr>
        <w:t xml:space="preserve">Decidere con la Fondazione quale impostazione del simulatore usare per le stime ufficiali: con il metodo «bilancio del Comune» i 5 Comuni di prova hanno ricavi inferiori al costo del Caso 1 (scenari del 25/10), con il metodo «per utenza» della pagina /scopri le stime sono più alte.</w:t>
      </w:r>
    </w:p>
    <w:p>
      <w:pPr>
        <w:pStyle w:val="ListParagraph"/>
        <w:numPr>
          <w:ilvl w:val="0"/>
          <w:numId w:val="3"/>
        </w:numPr>
        <w:spacing w:after="70" w:line="290"/>
      </w:pP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(in produzione dal 23/10): prima delle campagne reali verificare il dominio email su Resend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e far controllare a un legale le email promozionali agli enti (art. 130 Codice privacy, informativa art. 14 GDPR).</w:t>
      </w:r>
    </w:p>
    <w:p>
      <w:pPr>
        <w:pStyle w:val="ListParagraph"/>
        <w:numPr>
          <w:ilvl w:val="0"/>
          <w:numId w:val="3"/>
        </w:numPr>
        <w:spacing w:after="70" w:line="290"/>
      </w:pPr>
      <w:r>
        <w:rPr>
          <w:rFonts w:ascii="Arial" w:cs="Arial" w:eastAsia="Arial" w:hAnsi="Arial"/>
          <w:b/>
          <w:bCs/>
          <w:color w:val="1B2118"/>
          <w:sz w:val="21"/>
          <w:szCs w:val="21"/>
        </w:rPr>
        <w:t xml:space="preserve">Installare il backup giornaliero dal Mac</w:t>
      </w:r>
      <w:r>
        <w:rPr>
          <w:rFonts w:ascii="Arial" w:cs="Arial" w:eastAsia="Arial" w:hAnsi="Arial"/>
          <w:color w:val="1B2118"/>
          <w:sz w:val="21"/>
          <w:szCs w:val="21"/>
        </w:rPr>
        <w:t xml:space="preserve"> (Google Drive per desktop e installatore </w:t>
      </w:r>
      <w:r>
        <w:rPr>
          <w:rFonts w:ascii="Consolas" w:cs="Consolas" w:eastAsia="Consolas" w:hAnsi="Consolas"/>
          <w:color w:val="2F5D3A"/>
          <w:sz w:val="21"/>
          <w:szCs w:val="21"/>
        </w:rPr>
        <w:t xml:space="preserve">strumenti/backup/installa_backup_mac.sh</w:t>
      </w:r>
      <w:r>
        <w:rPr>
          <w:rFonts w:ascii="Arial" w:cs="Arial" w:eastAsia="Arial" w:hAnsi="Arial"/>
          <w:color w:val="1B2118"/>
          <w:sz w:val="21"/>
          <w:szCs w:val="21"/>
        </w:rPr>
        <w:t xml:space="preserve">, con la chiave service_role inserita da Luca; Istruzioni di ripristino, capitolo «Backup»). Il backup in Google Apps Script è stato tolto (bloccato da Google).</w:t>
      </w:r>
    </w:p>
    <w:p>
      <w:pPr>
        <w:pStyle w:val="ListParagraph"/>
        <w:numPr>
          <w:ilvl w:val="0"/>
          <w:numId w:val="3"/>
        </w:numPr>
        <w:spacing w:after="70" w:line="290"/>
      </w:pPr>
      <w:r>
        <w:rPr>
          <w:rFonts w:ascii="Arial" w:cs="Arial" w:eastAsia="Arial" w:hAnsi="Arial"/>
          <w:strike/>
          <w:color w:val="5A5E54"/>
          <w:sz w:val="21"/>
          <w:szCs w:val="21"/>
        </w:rPr>
        <w:t xml:space="preserve">Eseguire lo script </w:t>
      </w:r>
      <w:r>
        <w:rPr>
          <w:rFonts w:ascii="Consolas" w:cs="Consolas" w:eastAsia="Consolas" w:hAnsi="Consolas"/>
          <w:strike/>
          <w:color w:val="2F5D3A"/>
          <w:sz w:val="21"/>
          <w:szCs w:val="21"/>
        </w:rPr>
        <w:t xml:space="preserve">34_sicurezza_avvisi.sql</w:t>
      </w:r>
      <w:r>
        <w:rPr>
          <w:rFonts w:ascii="Arial" w:cs="Arial" w:eastAsia="Arial" w:hAnsi="Arial"/>
          <w:color w:val="1B2118"/>
          <w:sz w:val="21"/>
          <w:szCs w:val="21"/>
        </w:rPr>
        <w:t xml:space="preserve"> — fatto il 23/10 alle 12:20 su incarico di Luca.</w:t>
      </w:r>
    </w:p>
    <w:p>
      <w:pPr>
        <w:pStyle w:val="ListParagraph"/>
        <w:numPr>
          <w:ilvl w:val="0"/>
          <w:numId w:val="3"/>
        </w:numPr>
        <w:spacing w:after="70" w:line="290"/>
      </w:pPr>
      <w:r>
        <w:rPr>
          <w:rFonts w:ascii="Arial" w:cs="Arial" w:eastAsia="Arial" w:hAnsi="Arial"/>
          <w:color w:val="1B2118"/>
          <w:sz w:val="21"/>
          <w:szCs w:val="21"/>
        </w:rPr>
        <w:t xml:space="preserve">DPIA e accordo sul trattamento (art. 28 GDPR) con i Comuni prima di caricare utenze reali nella Banca Dati Utenze per utenza. </w:t>
      </w:r>
      <w:r>
        <w:rPr>
          <w:rFonts w:ascii="Arial" w:cs="Arial" w:eastAsia="Arial" w:hAnsi="Arial"/>
          <w:b/>
          <w:bCs/>
          <w:color w:val="1B2118"/>
          <w:sz w:val="21"/>
          <w:szCs w:val="21"/>
        </w:rPr>
        <w:t xml:space="preserve">Traccia DPIA pronta dal 26/10</w:t>
      </w:r>
      <w:r>
        <w:rPr>
          <w:rFonts w:ascii="Arial" w:cs="Arial" w:eastAsia="Arial" w:hAnsi="Arial"/>
          <w:color w:val="1B2118"/>
          <w:sz w:val="21"/>
          <w:szCs w:val="21"/>
        </w:rPr>
        <w:t xml:space="preserve"> (area Documentazione, Word da mandare al Comune): decidere la pseudonimizzazione (solo codici utenza), accendere la verifica in due passaggi, accettare i DPA di Supabase e Google, proteggere le copie di sicurezza (piano d'azione A1-A12 della traccia).</w:t>
      </w:r>
    </w:p>
    <w:p>
      <w:pPr>
        <w:pStyle w:val="ListParagraph"/>
        <w:numPr>
          <w:ilvl w:val="0"/>
          <w:numId w:val="3"/>
        </w:numPr>
        <w:spacing w:after="70" w:line="290"/>
      </w:pPr>
      <w:r>
        <w:rPr>
          <w:rFonts w:ascii="Arial" w:cs="Arial" w:eastAsia="Arial" w:hAnsi="Arial"/>
          <w:color w:val="1B2118"/>
          <w:sz w:val="21"/>
          <w:szCs w:val="21"/>
        </w:rPr>
        <w:t xml:space="preserve">Inoltrare alla Fondazione le domande in ATTESA_REGOLA (R01-R04, R06, riuso, N05, N06, frazioni vuote nel calcolo per utenza) e decidere gli interventi sui dati proposti (fase 5 senza ente, fasi senza scadenza, codici).</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b/>
          <w:bCs/>
          <w:color w:val="1B2118"/>
          <w:sz w:val="21"/>
          <w:szCs w:val="21"/>
        </w:rPr>
        <w:t xml:space="preserve">Gestori senza sito</w:t>
      </w:r>
      <w:r>
        <w:rPr>
          <w:rFonts w:ascii="Arial" w:cs="Arial" w:eastAsia="Arial" w:hAnsi="Arial"/>
          <w:color w:val="1B2118"/>
          <w:sz w:val="21"/>
          <w:szCs w:val="21"/>
        </w:rPr>
        <w:t xml:space="preserve"> (circa 5.650): trovare sito e recapiti a giri di circa 90 imprese, prima le classi A-C fuori dalla Lombardia (circa 1.000); poi la lettura automatica completa i dati dai siti.</w:t>
      </w:r>
    </w:p>
    <w:p>
      <w:pPr>
        <w:pStyle w:val="ListParagraph"/>
        <w:numPr>
          <w:ilvl w:val="0"/>
          <w:numId w:val="3"/>
        </w:numPr>
        <w:spacing w:after="70" w:line="290"/>
      </w:pPr>
      <w:r>
        <w:rPr>
          <w:rFonts w:ascii="Arial" w:cs="Arial" w:eastAsia="Arial" w:hAnsi="Arial"/>
          <w:color w:val="1B2118"/>
          <w:sz w:val="21"/>
          <w:szCs w:val="21"/>
        </w:rPr>
        <w:t xml:space="preserve">Lettura dei siti: seconda lettura dei 1.162 siti che non avevano risposto (in corso dal 26/10), poi conteggio finale.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strike/>
          <w:color w:val="5A5E54"/>
          <w:sz w:val="21"/>
          <w:szCs w:val="21"/>
        </w:rPr>
        <w:t xml:space="preserve">Banca Dati Utenze per utenza e collegamento al motore</w:t>
      </w:r>
      <w:r>
        <w:rPr>
          <w:rFonts w:ascii="Arial" w:cs="Arial" w:eastAsia="Arial" w:hAnsi="Arial"/>
          <w:color w:val="1B2118"/>
          <w:sz w:val="21"/>
          <w:szCs w:val="21"/>
        </w:rPr>
        <w:t xml:space="preserve"> — fatti il 22-23/10 (script 40-41); </w:t>
      </w:r>
      <w:r>
        <w:rPr>
          <w:rFonts w:ascii="Arial" w:cs="Arial" w:eastAsia="Arial" w:hAnsi="Arial"/>
          <w:strike/>
          <w:color w:val="5A5E54"/>
          <w:sz w:val="21"/>
          <w:szCs w:val="21"/>
        </w:rPr>
        <w:t xml:space="preserve">valore dei crediti nella Dashboard</w:t>
      </w:r>
      <w:r>
        <w:rPr>
          <w:rFonts w:ascii="Arial" w:cs="Arial" w:eastAsia="Arial" w:hAnsi="Arial"/>
          <w:color w:val="1B2118"/>
          <w:sz w:val="21"/>
          <w:szCs w:val="21"/>
        </w:rPr>
        <w:t xml:space="preserve"> — fatto il 23/10 (script 42).</w:t>
      </w:r>
    </w:p>
    <w:p>
      <w:pPr>
        <w:pStyle w:val="ListParagraph"/>
        <w:numPr>
          <w:ilvl w:val="0"/>
          <w:numId w:val="3"/>
        </w:numPr>
        <w:spacing w:after="70" w:line="290"/>
      </w:pPr>
      <w:r>
        <w:rPr>
          <w:rFonts w:ascii="Arial" w:cs="Arial" w:eastAsia="Arial" w:hAnsi="Arial"/>
          <w:color w:val="1B2118"/>
          <w:sz w:val="21"/>
          <w:szCs w:val="21"/>
        </w:rPr>
        <w:t xml:space="preserve">Sicurezza (punti 14-18 e 30, verifica OWASP in corso)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cruscotto_valore_progetti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per il valore dei progetti (Caso 1 / Caso 2) in Dashboard e Le mie pratiche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staff_aggiorna_dati_pratica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20, 23, 43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del Progetto con le 7 fasi e modifica dei dati, dal 23/10 anche il listino Caso 1 / Caso 2</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1010"/>
        <w:gridCol w:w="4784"/>
      </w:tblGrid>
      <w:tr>
        <w:trPr>
          <w:tblHeader/>
        </w:trPr>
        <w:tc>
          <w:tcPr>
            <w:tcW w:type="dxa" w:w="3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(dal 23/10 con il listino Caso 1 / Caso 2), 7 fasi, durate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del tracciato (passo 5b), numerazione del registro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(passo 5a): una riga per utenza con categorie e kg per frazione; usata dal motore dallo script 41</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28, 42, 43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 del simulatore (dal 23/10 anche i ricavi del periodo e quanto paga il cliente)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e vendite comunicate dal registro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186 file, 44.672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282</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Regioni italiane (nomi ISTAT, come nella banca dati).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5"/>
        <w:gridCol w:w="933"/>
        <w:gridCol w:w="5090"/>
      </w:tblGrid>
      <w:tr>
        <w:trPr>
          <w:tblHeader/>
        </w:trPr>
        <w:tc>
          <w:tcPr>
            <w:tcW w:type="dxa" w:w="36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943</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src/components/marketing/Campagne.jsx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src/components/marketing/ElencoEnti.jsx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Ricarica a ogni cambio di filtri o pagina (con un piccolo ritardo per il testo).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src/components/marketing/Importazioni.jsx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232</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Sezioni regionali dell'Albo (id usati dall'elenco pubblico degli iscritti).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src/components/marketing/Richieste.jsx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htmlCampagna / testoCampagna: l'email di una campagna (grafica in testa, testo, riquadro «risorse per 7, 10 o 21 anni», pulsante «Approfondisci» verso la landing page, informativa e disiscrizione). La STESSA funzione è copiata…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 i filtri dell'elenco a una lettura di mkt_ente. Filtri: tipo,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src/lib/marketingLettura.js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INIZIO-LETTURA-SITI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3"/>
        <w:gridCol w:w="950"/>
        <w:gridCol w:w="5185"/>
      </w:tblGrid>
      <w:tr>
        <w:trPr>
          <w:tblHeader/>
        </w:trPr>
        <w:tc>
          <w:tcPr>
            <w:tcW w:type="dxa" w:w="350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supabase/43_valore_progetti.sql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 — VALORE DEI PROGETTI: LISTINO CASO 1 / CASO 2</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supabase/44_marketing.sql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 — MARKETING: BANCHE DATI DI COMUNI E GESTORI, CAMPAGNE, RICHIESTE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supabase/45_rapporto_registrato_marketing_rls.sql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RAPPORTI SOLO PER PROGETTI REGISTRATI; MARKETING PIÙ VELOCE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supabase/46_lettura_siti.sql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 — MARKETING: LETTORE DEI SITI DI COMUNI E GESTORI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supabase/47_listino_obbligatorio.sql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 — LISTINO OBBLIGATORIO PER I PROGETTI</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6"/>
        <w:gridCol w:w="905"/>
        <w:gridCol w:w="4937"/>
      </w:tblGrid>
      <w:tr>
        <w:trPr>
          <w:tblHeader/>
        </w:trPr>
        <w:tc>
          <w:tcPr>
            <w:tcW w:type="dxa" w:w="3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975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 funzione del server dello strumento di marketing</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test/valoreProgetti.test.mjs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noto del rilievo N01: 16.232,95 €/anno.</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3"/>
        <w:gridCol w:w="943"/>
        <w:gridCol w:w="5142"/>
      </w:tblGrid>
      <w:tr>
        <w:trPr>
          <w:tblHeader/>
        </w:trPr>
        <w:tc>
          <w:tcPr>
            <w:tcW w:type="dxa" w:w="35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598</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455</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strumenti/marketing_arricchimento_sql.py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672</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Marketing</w:t>
      </w:r>
      <w:bookmarkEnd w:id="1"/>
    </w:p>
    <w:p>
      <w:pPr>
        <w:spacing w:after="140" w:line="300"/>
      </w:pPr>
      <w:r>
        <w:rPr>
          <w:rFonts w:ascii="Arial" w:cs="Arial" w:eastAsia="Arial" w:hAnsi="Arial"/>
          <w:color w:val="1B2118"/>
          <w:sz w:val="21"/>
          <w:szCs w:val="21"/>
        </w:rPr>
        <w:t xml:space="preserve">Sezione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solo Amministratori), richiesta di Luca Moretti del 23/10/2026: banche dati di Comuni e gestori, campagne email e pagina pubblica «Approfondisci» con micro simulazione.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4641"/>
        <w:gridCol w:w="3212"/>
      </w:tblGrid>
      <w:tr>
        <w:trPr>
          <w:tblHeader/>
        </w:trPr>
        <w:tc>
          <w:tcPr>
            <w:tcW w:type="dxa" w:w="17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464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 / servizi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 schede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src/components/marketing/{ElencoEnti,Campagne,Richieste,Importazioni}.jsx</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regole, micro simulazione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r>
              <w:rPr>
                <w:rFonts w:ascii="Arial" w:cs="Arial" w:eastAsia="Arial" w:hAnsi="Arial"/>
                <w:color w:val="1B2118"/>
                <w:sz w:val="18"/>
                <w:szCs w:val="18"/>
              </w:rPr>
              <w:t xml:space="preserve"> (blocchi </w:t>
            </w:r>
            <w:r>
              <w:rPr>
                <w:rFonts w:ascii="Consolas" w:cs="Consolas" w:eastAsia="Consolas" w:hAnsi="Consolas"/>
                <w:color w:val="2F5D3A"/>
                <w:sz w:val="18"/>
                <w:szCs w:val="18"/>
              </w:rPr>
              <w:t xml:space="preserve">INIZIO-EMAIL-CAMPAGNA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INIZIO-REGOLE-IPA</w:t>
            </w:r>
            <w:r>
              <w:rPr>
                <w:rFonts w:ascii="Arial" w:cs="Arial" w:eastAsia="Arial" w:hAnsi="Arial"/>
                <w:color w:val="1B2118"/>
                <w:sz w:val="18"/>
                <w:szCs w:val="18"/>
              </w:rPr>
              <w:t xml:space="preserve"> copiati identici nella funzione)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del server</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 IndicePA, Albo Gestori Ambientali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w:t>
            </w:r>
            <w:r>
              <w:rPr>
                <w:rFonts w:ascii="Consolas" w:cs="Consolas" w:eastAsia="Consolas" w:hAnsi="Consolas"/>
                <w:color w:val="2F5D3A"/>
                <w:sz w:val="18"/>
                <w:szCs w:val="18"/>
              </w:rPr>
              <w:t xml:space="preserve">marketing</w:t>
            </w:r>
            <w:r>
              <w:rPr>
                <w:rFonts w:ascii="Arial" w:cs="Arial" w:eastAsia="Arial" w:hAnsi="Arial"/>
                <w:color w:val="1B2118"/>
                <w:sz w:val="18"/>
                <w:szCs w:val="18"/>
              </w:rPr>
              <w:t xml:space="preserve"> (azioni pubbliche)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Materiali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public/marketing/</w:t>
            </w:r>
            <w:r>
              <w:rPr>
                <w:rFonts w:ascii="Arial" w:cs="Arial" w:eastAsia="Arial" w:hAnsi="Arial"/>
                <w:color w:val="1B2118"/>
                <w:sz w:val="18"/>
                <w:szCs w:val="18"/>
              </w:rPr>
              <w:t xml:space="preserve"> (grafiche, fascicolo PDF, </w:t>
            </w:r>
            <w:r>
              <w:rPr>
                <w:rFonts w:ascii="Consolas" w:cs="Consolas" w:eastAsia="Consolas" w:hAnsi="Consolas"/>
                <w:color w:val="2F5D3A"/>
                <w:sz w:val="18"/>
                <w:szCs w:val="18"/>
              </w:rPr>
              <w:t xml:space="preserve">dati/comuni_istat.json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strumenti/genera_fascicolo_marketing.mjs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t44.sql</w:t>
            </w:r>
            <w:r>
              <w:rPr>
                <w:rFonts w:ascii="Arial" w:cs="Arial" w:eastAsia="Arial" w:hAnsi="Arial"/>
                <w:color w:val="1B2118"/>
                <w:sz w:val="18"/>
                <w:szCs w:val="18"/>
              </w:rPr>
              <w:t xml:space="preserve"> sul banco</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Fonti dei dati</w:t>
      </w:r>
    </w:p>
    <w:p>
      <w:pPr>
        <w:pStyle w:val="ListParagraph"/>
        <w:numPr>
          <w:ilvl w:val="0"/>
          <w:numId w:val="3"/>
        </w:numPr>
        <w:spacing w:after="70" w:line="290"/>
      </w:pPr>
      <w:r>
        <w:rPr>
          <w:rFonts w:ascii="Arial" w:cs="Arial" w:eastAsia="Arial" w:hAnsi="Arial"/>
          <w:i/>
          <w:iCs/>
          <w:color w:val="1B2118"/>
          <w:sz w:val="21"/>
          <w:szCs w:val="21"/>
        </w:rPr>
        <w:t xml:space="preserve">Comuni</w:t>
      </w:r>
      <w:r>
        <w:rPr>
          <w:rFonts w:ascii="Arial" w:cs="Arial" w:eastAsia="Arial" w:hAnsi="Arial"/>
          <w:color w:val="1B2118"/>
          <w:sz w:val="21"/>
          <w:szCs w:val="21"/>
        </w:rPr>
        <w:t xml:space="preserve">: elenco ISTAT (7.904 Comuni con regione, provincia e abitanti, copiato da matteocontrini/comuni-json nel file </w:t>
      </w:r>
      <w:r>
        <w:rPr>
          <w:rFonts w:ascii="Consolas" w:cs="Consolas" w:eastAsia="Consolas" w:hAnsi="Consolas"/>
          <w:color w:val="2F5D3A"/>
          <w:sz w:val="21"/>
          <w:szCs w:val="21"/>
        </w:rPr>
        <w:t xml:space="preserve">public/marketing/dati/comuni_istat.json</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IndicePA</w:t>
      </w:r>
      <w:r>
        <w:rPr>
          <w:rFonts w:ascii="Arial" w:cs="Arial" w:eastAsia="Arial" w:hAnsi="Arial"/>
          <w:color w:val="1B2118"/>
          <w:sz w:val="21"/>
          <w:szCs w:val="21"/>
        </w:rPr>
        <w:t xml:space="preserve"> (open data dell'Indice dei domicili digitali della PA, categoria L6 «Comuni e loro Consorzi e Associazioni»): PEC, email generica, sito, sindaco; dalle unità organizzative i responsabili degli uffici tributi, ambiente, finanziario e tecnico (regole in </w:t>
      </w:r>
      <w:r>
        <w:rPr>
          <w:rFonts w:ascii="Consolas" w:cs="Consolas" w:eastAsia="Consolas" w:hAnsi="Consolas"/>
          <w:color w:val="2F5D3A"/>
          <w:sz w:val="21"/>
          <w:szCs w:val="21"/>
        </w:rPr>
        <w:t xml:space="preserve">ruoloUfficio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i/>
          <w:iCs/>
          <w:color w:val="1B2118"/>
          <w:sz w:val="21"/>
          <w:szCs w:val="21"/>
        </w:rPr>
        <w:t xml:space="preserve">Importazione a blocchi</w:t>
      </w:r>
      <w:r>
        <w:rPr>
          <w:rFonts w:ascii="Arial" w:cs="Arial" w:eastAsia="Arial" w:hAnsi="Arial"/>
          <w:color w:val="1B2118"/>
          <w:sz w:val="21"/>
          <w:szCs w:val="21"/>
        </w:rPr>
        <w:t xml:space="preserve"> (dal 23/10, per i tempi della funzione e per IndicePA che con letture grandi risponde «App offline»): uffici a blocchi di 400 Comuni, Albo una provincia per chiamata; un errore di IndicePA sui gestori non blocca il salvataggio delle imprese.</w:t>
      </w:r>
    </w:p>
    <w:p>
      <w:pPr>
        <w:pStyle w:val="ListParagraph"/>
        <w:numPr>
          <w:ilvl w:val="0"/>
          <w:numId w:val="3"/>
        </w:numPr>
        <w:spacing w:after="70" w:line="290"/>
      </w:pPr>
      <w:r>
        <w:rPr>
          <w:rFonts w:ascii="Arial" w:cs="Arial" w:eastAsia="Arial" w:hAnsi="Arial"/>
          <w:i/>
          <w:iCs/>
          <w:color w:val="1B2118"/>
          <w:sz w:val="21"/>
          <w:szCs w:val="21"/>
        </w:rPr>
        <w:t xml:space="preserve">Verifica dei gestori sui siti</w:t>
      </w:r>
      <w:r>
        <w:rPr>
          <w:rFonts w:ascii="Arial" w:cs="Arial" w:eastAsia="Arial" w:hAnsi="Arial"/>
          <w:color w:val="1B2118"/>
          <w:sz w:val="21"/>
          <w:szCs w:val="21"/>
        </w:rPr>
        <w:t xml:space="preserve"> (dal 23/10): a lotti, per classe di iscrizione (prima A-C); risultati in JSON con la fonte di ogni dato, trasformati in SQL da </w:t>
      </w:r>
      <w:r>
        <w:rPr>
          <w:rFonts w:ascii="Consolas" w:cs="Consolas" w:eastAsia="Consolas" w:hAnsi="Consolas"/>
          <w:color w:val="2F5D3A"/>
          <w:sz w:val="21"/>
          <w:szCs w:val="21"/>
        </w:rPr>
        <w:t xml:space="preserve">strumenti/marketing_arricchimento_sql.py</w:t>
      </w:r>
      <w:r>
        <w:rPr>
          <w:rFonts w:ascii="Arial" w:cs="Arial" w:eastAsia="Arial" w:hAnsi="Arial"/>
          <w:color w:val="1B2118"/>
          <w:sz w:val="21"/>
          <w:szCs w:val="21"/>
        </w:rPr>
        <w:t xml:space="preserve"> ed eseguiti nel SQL Editor. Ogni impresa verificata ha </w:t>
      </w:r>
      <w:r>
        <w:rPr>
          <w:rFonts w:ascii="Consolas" w:cs="Consolas" w:eastAsia="Consolas" w:hAnsi="Consolas"/>
          <w:color w:val="2F5D3A"/>
          <w:sz w:val="21"/>
          <w:szCs w:val="21"/>
        </w:rPr>
        <w:t xml:space="preserve">verificato_il</w:t>
      </w:r>
      <w:r>
        <w:rPr>
          <w:rFonts w:ascii="Arial" w:cs="Arial" w:eastAsia="Arial" w:hAnsi="Arial"/>
          <w:color w:val="1B2118"/>
          <w:sz w:val="21"/>
          <w:szCs w:val="21"/>
        </w:rPr>
        <w:t xml:space="preserve">, le fonti e una nota con le evidenze (Comuni serviti, tariffa).</w:t>
      </w:r>
    </w:p>
    <w:p>
      <w:pPr>
        <w:pStyle w:val="ListParagraph"/>
        <w:numPr>
          <w:ilvl w:val="0"/>
          <w:numId w:val="3"/>
        </w:numPr>
        <w:spacing w:after="70" w:line="290"/>
      </w:pPr>
      <w:r>
        <w:rPr>
          <w:rFonts w:ascii="Arial" w:cs="Arial" w:eastAsia="Arial" w:hAnsi="Arial"/>
          <w:i/>
          <w:iCs/>
          <w:color w:val="1B2118"/>
          <w:sz w:val="21"/>
          <w:szCs w:val="21"/>
        </w:rPr>
        <w:t xml:space="preserve">Gestori</w:t>
      </w:r>
      <w:r>
        <w:rPr>
          <w:rFonts w:ascii="Arial" w:cs="Arial" w:eastAsia="Arial" w:hAnsi="Arial"/>
          <w:color w:val="1B2118"/>
          <w:sz w:val="21"/>
          <w:szCs w:val="21"/>
        </w:rPr>
        <w:t xml:space="preserve">: elenco pubblico degli iscritti all'</w:t>
      </w:r>
      <w:r>
        <w:rPr>
          <w:rFonts w:ascii="Arial" w:cs="Arial" w:eastAsia="Arial" w:hAnsi="Arial"/>
          <w:b/>
          <w:bCs/>
          <w:color w:val="1B2118"/>
          <w:sz w:val="21"/>
          <w:szCs w:val="21"/>
        </w:rPr>
        <w:t xml:space="preserve">Albo Nazionale Gestori Ambientali</w:t>
      </w:r>
      <w:r>
        <w:rPr>
          <w:rFonts w:ascii="Arial" w:cs="Arial" w:eastAsia="Arial" w:hAnsi="Arial"/>
          <w:color w:val="1B2118"/>
          <w:sz w:val="21"/>
          <w:szCs w:val="21"/>
        </w:rPr>
        <w:t xml:space="preserve">, sezione per sezione, filtrato sulla categoria «1o» (raccolta e trasporto di rifiuti urbani, ordinaria). L'elenco pubblico non dà email né referenti: per i gestori pubblici PEC, email e sito arrivano da IndicePA (codice fiscale); per le imprese private attività (raccolta, gestione della tariffa), PEC, email e direttori/amministratori si verificano sui siti e si registrano nella scheda (fonte annotata). INI-PEC non si usa (CAPTCHA).</w:t>
      </w:r>
    </w:p>
    <w:p>
      <w:pPr>
        <w:spacing w:after="140" w:line="300"/>
      </w:pPr>
      <w:r>
        <w:rPr>
          <w:rFonts w:ascii="Arial" w:cs="Arial" w:eastAsia="Arial" w:hAnsi="Arial"/>
          <w:b/>
          <w:bCs/>
          <w:color w:val="1B2118"/>
          <w:sz w:val="21"/>
          <w:szCs w:val="21"/>
        </w:rPr>
        <w:t xml:space="preserve">Regole delle campagne</w:t>
      </w:r>
    </w:p>
    <w:p>
      <w:pPr>
        <w:pStyle w:val="ListParagraph"/>
        <w:numPr>
          <w:ilvl w:val="0"/>
          <w:numId w:val="3"/>
        </w:numPr>
        <w:spacing w:after="70" w:line="290"/>
      </w:pPr>
      <w:r>
        <w:rPr>
          <w:rFonts w:ascii="Arial" w:cs="Arial" w:eastAsia="Arial" w:hAnsi="Arial"/>
          <w:color w:val="1B2118"/>
          <w:sz w:val="21"/>
          <w:szCs w:val="21"/>
        </w:rPr>
        <w:t xml:space="preserve">Destinatari scelti per ogni campagna (tipo, regioni, abitanti, natura, attività); nessun invio automatico a tutti.</w:t>
      </w:r>
    </w:p>
    <w:p>
      <w:pPr>
        <w:pStyle w:val="ListParagraph"/>
        <w:numPr>
          <w:ilvl w:val="0"/>
          <w:numId w:val="3"/>
        </w:numPr>
        <w:spacing w:after="70" w:line="290"/>
      </w:pPr>
      <w:r>
        <w:rPr>
          <w:rFonts w:ascii="Arial" w:cs="Arial" w:eastAsia="Arial" w:hAnsi="Arial"/>
          <w:color w:val="1B2118"/>
          <w:sz w:val="21"/>
          <w:szCs w:val="21"/>
        </w:rPr>
        <w:t xml:space="preserve">Solo </w:t>
      </w:r>
      <w:r>
        <w:rPr>
          <w:rFonts w:ascii="Arial" w:cs="Arial" w:eastAsia="Arial" w:hAnsi="Arial"/>
          <w:b/>
          <w:bCs/>
          <w:color w:val="1B2118"/>
          <w:sz w:val="21"/>
          <w:szCs w:val="21"/>
        </w:rPr>
        <w:t xml:space="preserve">email generiche</w:t>
      </w:r>
      <w:r>
        <w:rPr>
          <w:rFonts w:ascii="Arial" w:cs="Arial" w:eastAsia="Arial" w:hAnsi="Arial"/>
          <w:color w:val="1B2118"/>
          <w:sz w:val="21"/>
          <w:szCs w:val="21"/>
        </w:rPr>
        <w:t xml:space="preserve">: le PEC non sono mai usate (controllo nel database </w:t>
      </w:r>
      <w:r>
        <w:rPr>
          <w:rFonts w:ascii="Consolas" w:cs="Consolas" w:eastAsia="Consolas" w:hAnsi="Consolas"/>
          <w:color w:val="2F5D3A"/>
          <w:sz w:val="21"/>
          <w:szCs w:val="21"/>
        </w:rPr>
        <w:t xml:space="preserve">mkt_email_non_pec</w:t>
      </w:r>
      <w:r>
        <w:rPr>
          <w:rFonts w:ascii="Arial" w:cs="Arial" w:eastAsia="Arial" w:hAnsi="Arial"/>
          <w:color w:val="1B2118"/>
          <w:sz w:val="21"/>
          <w:szCs w:val="21"/>
        </w:rPr>
        <w:t xml:space="preserve"> e nella funzione).</w:t>
      </w:r>
    </w:p>
    <w:p>
      <w:pPr>
        <w:pStyle w:val="ListParagraph"/>
        <w:numPr>
          <w:ilvl w:val="0"/>
          <w:numId w:val="3"/>
        </w:numPr>
        <w:spacing w:after="70" w:line="290"/>
      </w:pPr>
      <w:r>
        <w:rPr>
          <w:rFonts w:ascii="Arial" w:cs="Arial" w:eastAsia="Arial" w:hAnsi="Arial"/>
          <w:color w:val="1B2118"/>
          <w:sz w:val="21"/>
          <w:szCs w:val="21"/>
        </w:rPr>
        <w:t xml:space="preserve">Ogni email ha l'informativa (titolare, fonte pubblica dell'indirizzo) e il collegamento «Non desidero ricevere altre comunicazioni» (</w:t>
      </w:r>
      <w:r>
        <w:rPr>
          <w:rFonts w:ascii="Consolas" w:cs="Consolas" w:eastAsia="Consolas" w:hAnsi="Consolas"/>
          <w:color w:val="2F5D3A"/>
          <w:sz w:val="21"/>
          <w:szCs w:val="21"/>
        </w:rPr>
        <w:t xml:space="preserve">mkt_disiscrizione</w:t>
      </w:r>
      <w:r>
        <w:rPr>
          <w:rFonts w:ascii="Arial" w:cs="Arial" w:eastAsia="Arial" w:hAnsi="Arial"/>
          <w:color w:val="1B2118"/>
          <w:sz w:val="21"/>
          <w:szCs w:val="21"/>
        </w:rPr>
        <w:t xml:space="preserve">, escluso da tutte le campagne successive), anche nell'intestazione List-Unsubscribe.</w:t>
      </w:r>
    </w:p>
    <w:p>
      <w:pPr>
        <w:pStyle w:val="ListParagraph"/>
        <w:numPr>
          <w:ilvl w:val="0"/>
          <w:numId w:val="3"/>
        </w:numPr>
        <w:spacing w:after="70" w:line="290"/>
      </w:pPr>
      <w:r>
        <w:rPr>
          <w:rFonts w:ascii="Arial" w:cs="Arial" w:eastAsia="Arial" w:hAnsi="Arial"/>
          <w:color w:val="1B2118"/>
          <w:sz w:val="21"/>
          <w:szCs w:val="21"/>
        </w:rPr>
        <w:t xml:space="preserve">Invio a blocchi di 50 con pausa; piano gratuito di Resend: 100 email al giorno; finché il dominio non è verificato le email arrivano solo al titolare dell'account (prova «Invia una prova a me»).</w:t>
      </w:r>
    </w:p>
    <w:p>
      <w:pPr>
        <w:spacing w:after="140" w:line="300"/>
      </w:pPr>
      <w:r>
        <w:rPr>
          <w:rFonts w:ascii="Arial" w:cs="Arial" w:eastAsia="Arial" w:hAnsi="Arial"/>
          <w:b/>
          <w:bCs/>
          <w:color w:val="1B2118"/>
          <w:sz w:val="21"/>
          <w:szCs w:val="21"/>
        </w:rPr>
        <w:t xml:space="preserve">Lettore dei siti (dal 25/10, script 46)</w:t>
      </w:r>
      <w:r>
        <w:rPr>
          <w:rFonts w:ascii="Arial" w:cs="Arial" w:eastAsia="Arial" w:hAnsi="Arial"/>
          <w:color w:val="1B2118"/>
          <w:sz w:val="21"/>
          <w:szCs w:val="21"/>
        </w:rPr>
        <w:t xml:space="preserve"> — primo giro completo il 26/10: 5.365 Comuni e 170 gestori letti; 985 siti rifiutano i programmi automatici (robots.txt, rispettato); risultati nella cronologia.</w:t>
      </w:r>
    </w:p>
    <w:p>
      <w:pPr>
        <w:pStyle w:val="ListParagraph"/>
        <w:numPr>
          <w:ilvl w:val="0"/>
          <w:numId w:val="3"/>
        </w:numPr>
        <w:spacing w:after="70" w:line="290"/>
      </w:pPr>
      <w:r>
        <w:rPr>
          <w:rFonts w:ascii="Arial" w:cs="Arial" w:eastAsia="Arial" w:hAnsi="Arial"/>
          <w:color w:val="1B2118"/>
          <w:sz w:val="21"/>
          <w:szCs w:val="21"/>
        </w:rPr>
        <w:t xml:space="preserve">Coda </w:t>
      </w:r>
      <w:r>
        <w:rPr>
          <w:rFonts w:ascii="Consolas" w:cs="Consolas" w:eastAsia="Consolas" w:hAnsi="Consolas"/>
          <w:color w:val="2F5D3A"/>
          <w:sz w:val="21"/>
          <w:szCs w:val="21"/>
        </w:rPr>
        <w:t xml:space="preserve">mkt_lettura</w:t>
      </w:r>
      <w:r>
        <w:rPr>
          <w:rFonts w:ascii="Arial" w:cs="Arial" w:eastAsia="Arial" w:hAnsi="Arial"/>
          <w:color w:val="1B2118"/>
          <w:sz w:val="21"/>
          <w:szCs w:val="21"/>
        </w:rPr>
        <w:t xml:space="preserve">; il lavoro </w:t>
      </w:r>
      <w:r>
        <w:rPr>
          <w:rFonts w:ascii="Consolas" w:cs="Consolas" w:eastAsia="Consolas" w:hAnsi="Consolas"/>
          <w:color w:val="2F5D3A"/>
          <w:sz w:val="21"/>
          <w:szCs w:val="21"/>
        </w:rPr>
        <w:t xml:space="preserve">cwp_lettura_siti</w:t>
      </w:r>
      <w:r>
        <w:rPr>
          <w:rFonts w:ascii="Arial" w:cs="Arial" w:eastAsia="Arial" w:hAnsi="Arial"/>
          <w:color w:val="1B2118"/>
          <w:sz w:val="21"/>
          <w:szCs w:val="21"/>
        </w:rPr>
        <w:t xml:space="preserve"> ogni 30 secondi chiama </w:t>
      </w:r>
      <w:r>
        <w:rPr>
          <w:rFonts w:ascii="Consolas" w:cs="Consolas" w:eastAsia="Consolas" w:hAnsi="Consolas"/>
          <w:color w:val="2F5D3A"/>
          <w:sz w:val="21"/>
          <w:szCs w:val="21"/>
        </w:rPr>
        <w:t xml:space="preserve">leggi_siti</w:t>
      </w:r>
      <w:r>
        <w:rPr>
          <w:rFonts w:ascii="Arial" w:cs="Arial" w:eastAsia="Arial" w:hAnsi="Arial"/>
          <w:color w:val="1B2118"/>
          <w:sz w:val="21"/>
          <w:szCs w:val="21"/>
        </w:rPr>
        <w:t xml:space="preserve"> (4 enti alla volta) solo se </w:t>
      </w:r>
      <w:r>
        <w:rPr>
          <w:rFonts w:ascii="Consolas" w:cs="Consolas" w:eastAsia="Consolas" w:hAnsi="Consolas"/>
          <w:color w:val="2F5D3A"/>
          <w:sz w:val="21"/>
          <w:szCs w:val="21"/>
        </w:rPr>
        <w:t xml:space="preserve">mkt_lettura_attiva</w:t>
      </w:r>
      <w:r>
        <w:rPr>
          <w:rFonts w:ascii="Arial" w:cs="Arial" w:eastAsia="Arial" w:hAnsi="Arial"/>
          <w:color w:val="1B2118"/>
          <w:sz w:val="21"/>
          <w:szCs w:val="21"/>
        </w:rPr>
        <w:t xml:space="preserve"> = 'si'.</w:t>
      </w:r>
    </w:p>
    <w:p>
      <w:pPr>
        <w:pStyle w:val="ListParagraph"/>
        <w:numPr>
          <w:ilvl w:val="0"/>
          <w:numId w:val="3"/>
        </w:numPr>
        <w:spacing w:after="70" w:line="290"/>
      </w:pPr>
      <w:r>
        <w:rPr>
          <w:rFonts w:ascii="Arial" w:cs="Arial" w:eastAsia="Arial" w:hAnsi="Arial"/>
          <w:color w:val="1B2118"/>
          <w:sz w:val="21"/>
          <w:szCs w:val="21"/>
        </w:rPr>
        <w:t xml:space="preserve">Per ogni ente: robots.txt, home page, fino a 5 pagine utili e 2 di secondo livello, una ogni 0,7 secondi; regole fisse (</w:t>
      </w:r>
      <w:r>
        <w:rPr>
          <w:rFonts w:ascii="Consolas" w:cs="Consolas" w:eastAsia="Consolas" w:hAnsi="Consolas"/>
          <w:color w:val="2F5D3A"/>
          <w:sz w:val="21"/>
          <w:szCs w:val="21"/>
        </w:rPr>
        <w:t xml:space="preserve">estraiDati</w:t>
      </w:r>
      <w:r>
        <w:rPr>
          <w:rFonts w:ascii="Arial" w:cs="Arial" w:eastAsia="Arial" w:hAnsi="Arial"/>
          <w:color w:val="1B2118"/>
          <w:sz w:val="21"/>
          <w:szCs w:val="21"/>
        </w:rPr>
        <w:t xml:space="preserve">) e controllo (</w:t>
      </w:r>
      <w:r>
        <w:rPr>
          <w:rFonts w:ascii="Consolas" w:cs="Consolas" w:eastAsia="Consolas" w:hAnsi="Consolas"/>
          <w:color w:val="2F5D3A"/>
          <w:sz w:val="21"/>
          <w:szCs w:val="21"/>
        </w:rPr>
        <w:t xml:space="preserve">controlloEsito</w:t>
      </w:r>
      <w:r>
        <w:rPr>
          <w:rFonts w:ascii="Arial" w:cs="Arial" w:eastAsia="Arial" w:hAnsi="Arial"/>
          <w:color w:val="1B2118"/>
          <w:sz w:val="21"/>
          <w:szCs w:val="21"/>
        </w:rPr>
        <w:t xml:space="preserve">); riempie solo i campi vuoti di </w:t>
      </w:r>
      <w:r>
        <w:rPr>
          <w:rFonts w:ascii="Consolas" w:cs="Consolas" w:eastAsia="Consolas" w:hAnsi="Consolas"/>
          <w:color w:val="2F5D3A"/>
          <w:sz w:val="21"/>
          <w:szCs w:val="21"/>
        </w:rPr>
        <w:t xml:space="preserve">mkt_ente</w:t>
      </w:r>
      <w:r>
        <w:rPr>
          <w:rFonts w:ascii="Arial" w:cs="Arial" w:eastAsia="Arial" w:hAnsi="Arial"/>
          <w:color w:val="1B2118"/>
          <w:sz w:val="21"/>
          <w:szCs w:val="21"/>
        </w:rPr>
        <w:t xml:space="preserve">, referenti con chiave </w:t>
      </w:r>
      <w:r>
        <w:rPr>
          <w:rFonts w:ascii="Consolas" w:cs="Consolas" w:eastAsia="Consolas" w:hAnsi="Consolas"/>
          <w:color w:val="2F5D3A"/>
          <w:sz w:val="21"/>
          <w:szCs w:val="21"/>
        </w:rPr>
        <w:t xml:space="preserve">sito:&lt;ruolo&gt;:&lt;cognome|ufficio&gt;</w:t>
      </w:r>
      <w:r>
        <w:rPr>
          <w:rFonts w:ascii="Arial" w:cs="Arial" w:eastAsia="Arial" w:hAnsi="Arial"/>
          <w:color w:val="1B2118"/>
          <w:sz w:val="21"/>
          <w:szCs w:val="21"/>
        </w:rPr>
        <w:t xml:space="preserve"> e fonte.</w:t>
      </w:r>
    </w:p>
    <w:p>
      <w:pPr>
        <w:pStyle w:val="ListParagraph"/>
        <w:numPr>
          <w:ilvl w:val="0"/>
          <w:numId w:val="3"/>
        </w:numPr>
        <w:spacing w:after="70" w:line="290"/>
      </w:pPr>
      <w:r>
        <w:rPr>
          <w:rFonts w:ascii="Arial" w:cs="Arial" w:eastAsia="Arial" w:hAnsi="Arial"/>
          <w:color w:val="1B2118"/>
          <w:sz w:val="21"/>
          <w:szCs w:val="21"/>
        </w:rPr>
        <w:t xml:space="preserve">Nessun servizio a pagamento (scelta di Luca del 25/10/2026): le colonne </w:t>
      </w:r>
      <w:r>
        <w:rPr>
          <w:rFonts w:ascii="Consolas" w:cs="Consolas" w:eastAsia="Consolas" w:hAnsi="Consolas"/>
          <w:color w:val="2F5D3A"/>
          <w:sz w:val="21"/>
          <w:szCs w:val="21"/>
        </w:rPr>
        <w:t xml:space="preserve">token_in</w:t>
      </w:r>
      <w:r>
        <w:rPr>
          <w:rFonts w:ascii="Arial" w:cs="Arial" w:eastAsia="Arial" w:hAnsi="Arial"/>
          <w:color w:val="1B2118"/>
          <w:sz w:val="21"/>
          <w:szCs w:val="21"/>
        </w:rPr>
        <w:t xml:space="preserve">/</w:t>
      </w:r>
      <w:r>
        <w:rPr>
          <w:rFonts w:ascii="Consolas" w:cs="Consolas" w:eastAsia="Consolas" w:hAnsi="Consolas"/>
          <w:color w:val="2F5D3A"/>
          <w:sz w:val="21"/>
          <w:szCs w:val="21"/>
        </w:rPr>
        <w:t xml:space="preserve">token_out</w:t>
      </w:r>
      <w:r>
        <w:rPr>
          <w:rFonts w:ascii="Arial" w:cs="Arial" w:eastAsia="Arial" w:hAnsi="Arial"/>
          <w:color w:val="1B2118"/>
          <w:sz w:val="21"/>
          <w:szCs w:val="21"/>
        </w:rPr>
        <w:t xml:space="preserve"> restano a zero.</w:t>
      </w:r>
    </w:p>
    <w:p>
      <w:pPr>
        <w:pStyle w:val="ListParagraph"/>
        <w:numPr>
          <w:ilvl w:val="0"/>
          <w:numId w:val="3"/>
        </w:numPr>
        <w:spacing w:after="70" w:line="290"/>
      </w:pPr>
      <w:r>
        <w:rPr>
          <w:rFonts w:ascii="Arial" w:cs="Arial" w:eastAsia="Arial" w:hAnsi="Arial"/>
          <w:color w:val="1B2118"/>
          <w:sz w:val="21"/>
          <w:szCs w:val="21"/>
        </w:rPr>
        <w:t xml:space="preserve">Pagina Importazioni → «Lettura dei siti»: coda, letti, errori, Avvia / Ferma, «Leggi ora 1 ente», ultimi errori.</w:t>
      </w:r>
    </w:p>
    <w:p>
      <w:pPr>
        <w:spacing w:after="140" w:line="300"/>
      </w:pPr>
      <w:r>
        <w:rPr>
          <w:rFonts w:ascii="Arial" w:cs="Arial" w:eastAsia="Arial" w:hAnsi="Arial"/>
          <w:b/>
          <w:bCs/>
          <w:color w:val="1B2118"/>
          <w:sz w:val="21"/>
          <w:szCs w:val="21"/>
        </w:rPr>
        <w:t xml:space="preserve">Pagina «Approfondisci» (/scopri)</w:t>
      </w:r>
    </w:p>
    <w:p>
      <w:pPr>
        <w:pStyle w:val="ListParagraph"/>
        <w:numPr>
          <w:ilvl w:val="0"/>
          <w:numId w:val="3"/>
        </w:numPr>
        <w:spacing w:after="70" w:line="290"/>
      </w:pPr>
      <w:r>
        <w:rPr>
          <w:rFonts w:ascii="Arial" w:cs="Arial" w:eastAsia="Arial" w:hAnsi="Arial"/>
          <w:color w:val="1B2118"/>
          <w:sz w:val="21"/>
          <w:szCs w:val="21"/>
        </w:rPr>
        <w:t xml:space="preserve">Il collegamento dell'email porta il codice casuale dell'invio: la pagina legge solo nome e abitanti dell'ente e registra visita, simulazione e richiesta (statistiche della campagna).</w:t>
      </w:r>
    </w:p>
    <w:p>
      <w:pPr>
        <w:pStyle w:val="ListParagraph"/>
        <w:numPr>
          <w:ilvl w:val="0"/>
          <w:numId w:val="3"/>
        </w:numPr>
        <w:spacing w:after="70" w:line="290"/>
      </w:pPr>
      <w:r>
        <w:rPr>
          <w:rFonts w:ascii="Arial" w:cs="Arial" w:eastAsia="Arial" w:hAnsi="Arial"/>
          <w:color w:val="1B2118"/>
          <w:sz w:val="21"/>
          <w:szCs w:val="21"/>
        </w:rPr>
        <w:t xml:space="preserve">Micro simulazione: abitanti, rifiuti totali e secco residuo (t/anno), durata 7/10/21 anni, Caso 1 o 2 → stessa </w:t>
      </w:r>
      <w:r>
        <w:rPr>
          <w:rFonts w:ascii="Consolas" w:cs="Consolas" w:eastAsia="Consolas" w:hAnsi="Consolas"/>
          <w:color w:val="2F5D3A"/>
          <w:sz w:val="21"/>
          <w:szCs w:val="21"/>
        </w:rPr>
        <w:t xml:space="preserve">simula</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del simulatore (metodo «per utenza», buffer della Metodologia, prezzo 32 €, listino del caso; secco −30% e totale −5% pro capite entro l'ultimo anno). Ipotesi sempre visibili.</w:t>
      </w:r>
    </w:p>
    <w:p>
      <w:pPr>
        <w:pStyle w:val="ListParagraph"/>
        <w:numPr>
          <w:ilvl w:val="0"/>
          <w:numId w:val="3"/>
        </w:numPr>
        <w:spacing w:after="70" w:line="290"/>
      </w:pPr>
      <w:r>
        <w:rPr>
          <w:rFonts w:ascii="Arial" w:cs="Arial" w:eastAsia="Arial" w:hAnsi="Arial"/>
          <w:color w:val="1B2118"/>
          <w:sz w:val="21"/>
          <w:szCs w:val="21"/>
        </w:rPr>
        <w:t xml:space="preserve">Richiesta di registrazione: salvata in </w:t>
      </w:r>
      <w:r>
        <w:rPr>
          <w:rFonts w:ascii="Consolas" w:cs="Consolas" w:eastAsia="Consolas" w:hAnsi="Consolas"/>
          <w:color w:val="2F5D3A"/>
          <w:sz w:val="21"/>
          <w:szCs w:val="21"/>
        </w:rPr>
        <w:t xml:space="preserve">mkt_richiesta</w:t>
      </w:r>
      <w:r>
        <w:rPr>
          <w:rFonts w:ascii="Arial" w:cs="Arial" w:eastAsia="Arial" w:hAnsi="Arial"/>
          <w:color w:val="1B2118"/>
          <w:sz w:val="21"/>
          <w:szCs w:val="21"/>
        </w:rPr>
        <w:t xml:space="preserve">, notifica ed email a tutti gli Amministratori attivi (</w:t>
      </w:r>
      <w:r>
        <w:rPr>
          <w:rFonts w:ascii="Consolas" w:cs="Consolas" w:eastAsia="Consolas" w:hAnsi="Consolas"/>
          <w:color w:val="2F5D3A"/>
          <w:sz w:val="21"/>
          <w:szCs w:val="21"/>
        </w:rPr>
        <w:t xml:space="preserve">cwp_notifica</w:t>
      </w:r>
      <w:r>
        <w:rPr>
          <w:rFonts w:ascii="Arial" w:cs="Arial" w:eastAsia="Arial" w:hAnsi="Arial"/>
          <w:color w:val="1B2118"/>
          <w:sz w:val="21"/>
          <w:szCs w:val="21"/>
        </w:rPr>
        <w:t xml:space="preserve">, evento </w:t>
      </w:r>
      <w:r>
        <w:rPr>
          <w:rFonts w:ascii="Consolas" w:cs="Consolas" w:eastAsia="Consolas" w:hAnsi="Consolas"/>
          <w:color w:val="2F5D3A"/>
          <w:sz w:val="21"/>
          <w:szCs w:val="21"/>
        </w:rPr>
        <w:t xml:space="preserve">richiesta_registrazione</w:t>
      </w:r>
      <w:r>
        <w:rPr>
          <w:rFonts w:ascii="Arial" w:cs="Arial" w:eastAsia="Arial" w:hAnsi="Arial"/>
          <w:color w:val="1B2118"/>
          <w:sz w:val="21"/>
          <w:szCs w:val="21"/>
        </w:rPr>
        <w:t xml:space="preserve">); campo trappola contro i robot e limiti di invio.</w:t>
      </w:r>
    </w:p>
    <w:p>
      <w:pPr>
        <w:pStyle w:val="ListParagraph"/>
        <w:numPr>
          <w:ilvl w:val="0"/>
          <w:numId w:val="3"/>
        </w:numPr>
        <w:spacing w:after="70" w:line="290"/>
      </w:pPr>
      <w:r>
        <w:rPr>
          <w:rFonts w:ascii="Arial" w:cs="Arial" w:eastAsia="Arial" w:hAnsi="Arial"/>
          <w:color w:val="1B2118"/>
          <w:sz w:val="21"/>
          <w:szCs w:val="21"/>
        </w:rPr>
        <w:t xml:space="preserve">Fascicolo informativo: </w:t>
      </w:r>
      <w:r>
        <w:rPr>
          <w:rFonts w:ascii="Consolas" w:cs="Consolas" w:eastAsia="Consolas" w:hAnsi="Consolas"/>
          <w:color w:val="2F5D3A"/>
          <w:sz w:val="21"/>
          <w:szCs w:val="21"/>
        </w:rPr>
        <w:t xml:space="preserve">node strumenti/genera_fascicolo_marketing.mjs</w:t>
      </w:r>
      <w:r>
        <w:rPr>
          <w:rFonts w:ascii="Arial" w:cs="Arial" w:eastAsia="Arial" w:hAnsi="Arial"/>
          <w:color w:val="1B2118"/>
          <w:sz w:val="21"/>
          <w:szCs w:val="21"/>
        </w:rPr>
        <w:t xml:space="preserve"> (WeasyPrint); da rigenerare se cambiano prezzo, listini o regole.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8.3 · 26/10/2026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8.3 · 26/10/2026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6u_prsy8pylyvp7koeb4w" Type="http://schemas.openxmlformats.org/officeDocument/2006/relationships/hyperlink" Target="https://claude.ai/artifact/L9duSXhNfKejbz6RKXDQQv" TargetMode="External"/><Relationship Id="rId4cipxnxbkjwqa0iesundh" Type="http://schemas.openxmlformats.org/officeDocument/2006/relationships/hyperlink" Target="https://claude.ai/code/artifact/e2dd2bd5-8042-4744-8d5a-54d34dc50153" TargetMode="External"/><Relationship Id="rIdqmenqrp0kwiaue4ptlfxd" Type="http://schemas.openxmlformats.org/officeDocument/2006/relationships/hyperlink" Target="https://claude.ai/code/artifact/cc36ab09-61e6-4dad-aaf0-4082ea0a46da" TargetMode="External"/><Relationship Id="rId_l3dm0t3dp3htlbwv2k_9"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8.3)</dc:title>
  <dc:creator>Fondazione Operate</dc:creator>
  <cp:lastModifiedBy>Un-named</cp:lastModifiedBy>
  <cp:revision>1</cp:revision>
  <dcterms:created xsi:type="dcterms:W3CDTF">2026-10-26T09:27:34.996Z</dcterms:created>
  <dcterms:modified xsi:type="dcterms:W3CDTF">2026-10-26T09:27:34.996Z</dcterms:modified>
</cp:coreProperties>
</file>

<file path=docProps/custom.xml><?xml version="1.0" encoding="utf-8"?>
<Properties xmlns="http://schemas.openxmlformats.org/officeDocument/2006/custom-properties" xmlns:vt="http://schemas.openxmlformats.org/officeDocument/2006/docPropsVTypes"/>
</file>