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26/10/2026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26/10/2026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ISS-041 (calcolo con più di 1.000 utenze) corretto e verificato; prova di carico di Borgoval.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26/10/2026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al 26/10.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t47.sql.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t46.sql e prova del lettore dei siti in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ISS-039 e ISS-040 corretti e in produzione; prova t45.sql.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del Marketing: errori dell'importazione da IndicePA trovati e corretti.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t44.sql (Marketing) con l'errore trovato e corretto; serie marketing.test.mjs.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t34.sql nell'ordine della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dei colori dello stato delle fasi.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valoreProgetti.test.mjs e t43.sql; 19 serie.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al 23/10.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t42.sql (valore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utenzeNelCalcolo.test.mjs (7) e t41.sql; 18 serie.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Riassunto degli eventi delle utenze nell'Audit (6 prove).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Serie bancaDatiUtenze.test.mjs; t40.sql esteso.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t40.sql (Banca Dati Utenze).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N01-N04 e ISS-038 in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da ritestare, N05 e N06 in attesa di regola; prove rilievi_n.test.mjs e t39.sql.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e tramite per Google News. Prova t37.sql. ISS-036: tramite bloccato da Google, siti ambientali. ISS-036: tramite bloccato da Google, siti ambientali.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notizie.test.mjs e t36.sql.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1.26 del 26/10/2026.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26/10/2026 (ore 10:30)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26/10/2026 (ore 10:30)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046"/>
        <w:gridCol w:w="5707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34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 tranne ISS-012 e ISS-020; ISS-036; ISS-041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R08, D05-R1, O01, ISS-035, ISS-037, ISS-038, ISS-039, ISS-040, N01, N02, N03, N04 (ISS-039 e ISS-040 in produzione dal 23/10 alle 15:50; N01-N04 e ISS-038 in produzione dal 22/10 alle 14:30; N01-N04 con una domanda residua alla Fondazione)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riuso, N05, N06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 voci, 1 causa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38"/>
        <w:gridCol w:w="1920"/>
        <w:gridCol w:w="2375"/>
        <w:gridCol w:w="2129"/>
        <w:gridCol w:w="2376"/>
      </w:tblGrid>
      <w:tr>
        <w:trPr>
          <w:tblHeader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12:07 (log della funzione); 12:23 richiesta di Luca «identifica e sistema»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Notizie CO2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Google News non interrogato: alla prima ricerca i canali Google rispondevano 503 e arrivavano solo notizie da due siti. Segnalato da: Sviluppo e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Causa (diagnosi delle 12:26): Google risponde 503 con la pagina «Sorry…» a ogni richiesta dai server di Supabase, con qualunque intestazione (blocco dei centri dati); Bing risponde 200. Correzioni: 12:10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5e88cf6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canali Bing News e Verra; 12:29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3275547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Google News attraverso il tramite in Google Apps Script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ProxyGoogleNews.gs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impostazione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url_proxy_google_news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), autorizzazione bloccata da Google alle 13:54 («Questa app è bloccata»); con l'OK di Luca tramite tolto e al suo posto 8 siti di notizie ambientali (13:57,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56596c9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Verifiche: ricerca delle 12:18 con Bing (76 notizie lette, 41 nuove, 11 attinenti); diagnosi delle 14:12: 12 siti su 14 rispondono (Rinnovabili.it 403 e GreenReport 404 si saltano), Google sempre 503. Progetto Apps Script «Notizie CO2 – Google News» spostato nel cestino di Drive su richiesta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13:57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backup automatico in Google Apps Script non si attiva: Google blocca l'autorizzazione («Questa app è bloccata… informazioni sensibili», protezione dell'account).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14:34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8297e05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backup giornaliero alle 20:00 dal Mac in Google Drive per desktop › Cwp › backup › &lt;data&gt; (script 38,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backup_cwp_mac.sh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installa_backup_mac.sh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backup manuale del 21/10 in Cwp › backup › 2026-10-21. Da verificare dopo l'installazione sul Mac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circa 11:30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PDF scaricato da una simulazione non riportava tutti i dati della pagina né i grafici («inserisci tutti i dati completi della simulazione con costo e grafici»).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e6ed26c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PDF con grafici e sezioni 1-5 complete, Excel con il foglio «Dati inseriti»; verificato su due scenari di prova (10 anni Caso 1; 21 anni per utenza senza economia)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4920d2a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carattere Liberation Sans (stesse larghezze di Helvetica, licenza OFL) incorporato in rapporto crediti, simulatore e riepilogo del fascicolo; verificato con pdffonts (solo carattere incorporato in uso) e a schermo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13:26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Telefono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Navigazione da smartphone da ottimizzare (intestazione di 304 px su 844, simulatore più largo dello schermo, campi che fanno ingrandire l'iPhone).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22/10, in produzione alle 14:30: menu a pannello, schede al posto delle tabelle in Dashboard e Audit, elenco e dettaglio delle pratiche uno alla volta, campi a 16 px; prove 10.10g-10.10l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sessione, file ricevuto il 22/10 07:46)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Voci «una tantum» del Caso 1/2 ripetute in tutti gli anni; correttezza economica da verificare.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durate ≠ 10 anni ATTESA_REGOLA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rate annuali di un corrispettivo unico (contratti di consulenza e partecipazione); etichette e nota in pagina, PDF ed Excel; durate diverse da 10 anni segnalate come stima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N02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3 chiusa il 17/10 e consultazione chiusa il 18/10, prima del termine del 16/11.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 alle 14:30, script 39): chiusura solo dal giorno dopo il termine e insieme alla fase 3; prima del termine solo per pratica annullata/ritirata/chiusa con motivazione; Borgoval non toccato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N03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5 in corso con ente non assegnato.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(P1); dati del contratto ATTESA_REGOLA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22/10, script 39): fase 5 solo con un ente attivo assegnato; ente non rimovibile a fase 5 aperta; dato di Borgoval da decidere a parte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N04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Tutte le scadenze «—», contatori a zero.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calcolo per decorrenze della Tabella 3 ATTESA_REGOLA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riquadro «Fase aperta senza scadenza»; causa delle date mancanti: fasi aperte il 17/10 con la scrittura diretta tolta il 18/10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fa5afac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fase 1 senza scadenza per costruzione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N05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Codici progetto in formati diversi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cwp-026-005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(P3)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avviso non bloccante per i codici scritti a mano fuori formato; due codici scritti a mano (il generatore produce sempre 4 cifre maiuscole); nessuna rinomina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N06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Paniere del fattore dell'indifferenziato più ampio delle cinque frazioni nominate al cap. 5.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trasparenza (quota, tonnellate, FE, frazioni oltre le cinque ed escluse) nei risultati e nel PDF; formula invariata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ISS-039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 15:24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 creare un Rapporto di Monitoraggio per un Progetto non ancora registrato (es. CWP-2026-003).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23/10, in produzione alle 15:50 (script 45, main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1188a51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«+ Rapporto» solo con la fase 6 completata, controllo anche nel database. I Rapporti già creati (CWP-2026-0001-RM1, CWP-2026-003-RM1) non sono stati toccati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ISS-040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 15:24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Marketing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Elenco dei Comuni senza filtri vuoto («0 Comuni»), con il filtro per regione funzionava.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23/10, in produzione alle 15:50 (script 45): la regola di accesso ora si calcola una volta per lettura; tutti i Comuni in 44 ms invece di oltre il tempo massimo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ISS-041</w:t>
            </w:r>
          </w:p>
        </w:tc>
        <w:tc>
          <w:tcPr>
            <w:tcW w:type="dxa" w:w="192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26/10 10:23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più di 1.000 utenze nel passo 5a il motore ne usava solo le prime 1.000: l'API di Supabase restituisce al massimo 1.000 righe per richiesta e la lettura a blocchi di 5.000 si fermava al primo blocco «corto». Trovato nella prova di Borgoval (10.778 utenze: «708 / 1000» utenze, 119 crediti netti invece di 3.078).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26/10, in produzione alle 10:25 (main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c8ab6c8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blocchi di 1.000 e lettura finché arrivano righe. Verificato in produzione sul calcolo di prova di Borgoval: 10.778 utenze lette, risultato uguale al motore eseguito fuori dal portale (3.077,657 crediti netti). Nessun calcolo confermato era interessato (gli unici calcoli con utenze avevano 40 utenze)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R08 — PDF.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Causa probabile: i PDF usavano Helvetica non incorporata, che ogni lettore sostituisce con un carattere locale di larghezze diverse. Ora i tre generatori incorporano Liberation Sans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src/lib/caratteriPdf.js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file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public/caratteri/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la licenza OFL). Ha le stesse larghezze, quindi l'impaginazione non cambia. Se il carattere non si scarica si torna a Helvetica. Verifica: PDF di prova dei tre tipi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pdffonts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risulta «incorporato: sì», ed esame a schermo. Da ritestare con il caso 7.23 su più lettori.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N01-N06 — terza sessione di collaudo.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schede complete sono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docs/collaudo/Rilievi_N01-N06_risposte.md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correzioni sono in produzione dal 22/10/2026 alle 14:30 (script 39 eseguito con l'OK di Luca). Nessun dato storico è stato modificato; gli interventi sui dati (Borgoval, scadenze mancanti, codici) sono proposti a parte. Conseguenza per il collaudo: il percorso di prova non chiude più il feedback il giorno stesso (Manuale di test, nota dopo la prova 4.9d).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simulatore, con tutti i dati inseriti, il totale dei risultati e i grafici (ISS-035)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della pratica per l'assistente, copia identica nella funzione del server, base di conoscenza degli Operatori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Osservatorio News: lettura dei feed RSS (Google News, Bing News e siti), chiave dei titoli, pre-filtro, lettura della risposta di Claude, categorie uguali allo script 36, copia identica nella funzione del server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 (Caso 1 a 16.735 abitanti: 16.232,95 €/anno; 10 anni senza avviso, 7 e 12 anni stima), N04 (data assente, passata, oggi, +7, +8, pratiche non attive), N05 (formato dell'avviso), N06 (cinque frazioni + legno + metallo + RAEE a zero contro un calcolo indipendente, denominatore nullo)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bancaDatiUtenze.test.mjs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file di prova con 20 + 20 utenze, righe sbagliate con foglio e riga, codice doppio, svuotamenti senza kg, virgola e categoria numerica, colonna mancante, controllo del modulo, riassunto degli eventi delle utenze nell'Audit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utenzeNelCalcolo.test.mjs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Utenze del passo 5a nel motore: categoria di simulazione come classe e kg misurati, stessi numeri dei conferimenti del tracciato a parità di dati, frazioni contate per utenza, utenze senza categoria o fuori delibera escluse (avviso) e segnalate come errore di coerenza, priorità del 5a sul 5b, kg negativi bloccanti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valoreProgetti.test.mjs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Progetti per il cliente: Caso 1 a 16.735 abitanti (16.232,95 €/anno, 10 anni), Caso 2 più caro, 7 anni come stima, Progetti senza listino o popolazione contati a parte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10"/>
        <w:gridCol w:w="1104"/>
        <w:gridCol w:w="6024"/>
      </w:tblGrid>
      <w:tr>
        <w:trPr>
          <w:tblHeader/>
        </w:trPr>
        <w:tc>
          <w:tcPr>
            <w:tcW w:type="dxa" w:w="2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`marketing.test.mjs`</w:t>
            </w:r>
          </w:p>
        </w:tc>
        <w:tc>
          <w:tcPr>
            <w:tcW w:type="dxa" w:w="11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8</w:t>
            </w:r>
          </w:p>
        </w:tc>
        <w:tc>
          <w:tcPr>
            <w:tcW w:type="dxa" w:w="60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Marketing: copie identiche tra portale e funzione del server, PEC riconosciute (stessa regola del database), ruoli dagli uffici, email della campagna con link e disiscrizione, controlli e valori noti della micro simulazione (16.735 ab., 10 anni, Caso 1: margine 491.910 €), Caso 2 più caro, durate 7/10/21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23/10/2026 (ramo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marketing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20 serie superate.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t47.sql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25/10/2026 (listino obbligatorio, script 47): nuovo Progetto senza listino rifiutato con «Scegli il listino…», con Caso 2 accettato; togliere il listino da un Progetto rifiutato, cambiarlo accettato; Rapporti senza listino ancora possibili. In produzione: 5 Progetti a Caso 1, 5 voci di audit con la motivazione.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25/10/2026 (lettore dei siti, script 46), tutte come attese: messa in coda senza doppioni, accensione e riepilogo; l'Amministratore non può prendere enti dalla coda (solo la funzione del server);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mkt_lettura_prendi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dà due volte lo stesso ente e rimette in coda le letture interrotte da più di 10 minuti; «rileggi» rimette in coda i letti; Comune e anonimo senza accesso. Prova in produzione su 11 enti (8 letti, 3 siti non raggiungibili) con due regole corrette subito (email di un altro dominio, «Capitale Sociale» letto come nome).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(script 45),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Progetto senza fase 6 completata: nuovo Rapporto rifiutato con il messaggio «non è ancora registrato»; dopo la fase 6 completata il Rapporto nasce (CWP-…-RM1);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 Rapporti esistenti si aggiornano ancora (trigger solo sull'inserimento);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Marketing: Amministratore vede tutti gli 8.003 enti in 1,6 ms (prima 600 ms), Comune 0 e scrittura rifiutata, anonimo senza accesso; </w:t>
      </w:r>
      <w:r>
        <w:rPr>
          <w:rFonts w:ascii="Consolas" w:cs="Consolas" w:eastAsia="Consolas" w:hAnsi="Consolas"/>
          <w:color w:val="2F5D3A"/>
          <w:sz w:val="20"/>
          <w:szCs w:val="20"/>
        </w:rPr>
        <w:t xml:space="preserve">t44.sql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 invariato (7 rifiuti attesi).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t44.sql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(Marketing, script 44, banco ricostruito con gli script 01-44): tutte come attese dopo una correzione: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PEC nel campo email generica rifiutata, accettata nel campo PEC;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preparazione degli invii: enti senza email e indirizzi disiscritti saltati, seconda preparazione senza doppioni, campagna inviata bloccata;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utente del Comune: nessun dato visibile, scrittura e riepilogo rifiutati; anonimo: nessun accesso;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0"/>
          <w:szCs w:val="20"/>
        </w:rPr>
        <w:t xml:space="preserve">errore trovato e corretto prima del rilascio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: l'audit delle richieste di registrazione falliva perché </w:t>
      </w:r>
      <w:r>
        <w:rPr>
          <w:rFonts w:ascii="Consolas" w:cs="Consolas" w:eastAsia="Consolas" w:hAnsi="Consolas"/>
          <w:color w:val="2F5D3A"/>
          <w:sz w:val="20"/>
          <w:szCs w:val="20"/>
        </w:rPr>
        <w:t xml:space="preserve">mkt_richiesta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 aveva un id numerico (l'audit vuole uuid); id portato a uuid, audit di campagne e richieste presente;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0"/>
          <w:szCs w:val="20"/>
        </w:rPr>
        <w:t xml:space="preserve">mkt_sembra_pec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 riconosce pec.it, pecveneto.it, cert.provincia.it e non «pecora@».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Primo aggiornamento delle banche dati in produzione (23/10/2026 12:20-12:50), due errori trovati e corretti: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IndicePA: righe doppie per lo stesso codice ISTAT (Unioni e Consorzi nella categoria L6) → una sola riga per Comune, quella dell'ente «Comune…»;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lettura unica degli uffici dei Comuni respinta da IndicePA («App offline») → blocchi di 400 Comuni; Albo una provincia per chiamata;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esito: 7.904 Comuni, 7.504 con dati IndicePA, 5.642 con email generica; 5.818 gestori in categoria 1 ordinaria.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Ultime prove: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t34.sql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rieseguito il 23/10/2026 su un banco costruito nello stesso ordine della produzione (34 dopo 35-43): avviso per il nuovo Amministratore, un solo avviso dopo 5 tentativi non riusciti, funzioni riservate negate ad anon, uscita con il motivo «inattività», funzioni degli utenti collegati invariate; 9 funzioni eseguibili senza accesso;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t41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-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t43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invariati.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t43.sql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(valore dei progetti, script 43), tutte come attese: nuovo Progetto con Caso 2; listino non valido rifiutato con messaggio italiano (creazione e modifica); Progetto esistente da indicare → Caso 1 con motivazione nell'audit; Amministratore: scenario più recente per Comune e tutti i Progetti aperti; utente del Comune A: solo i suoi e nessuna modifica; anonimo negato; script rieseguibile.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t42.sql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(valore dei crediti nella Dashboard, script 42),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Amministratore: simulazione con un solo scenario per Comune (il più recente; il Comune non censito riconosciuto anche con il nome scritto diversamente), euro dai ricavi o al prezzo di riferimento, scenari a prezzo di riferimento contati; calcoli ex post confermati e validi (esclusi bozze, ex ante e versioni sostituite); lotti e vendite;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Operatore: stessi totali; non cambia il prezzo;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utente del Comune A: solo i dati del Comune 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prezzo a 40 €: euro ricalcolati, voce di audit; prezzo negativo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anonimo: nessun accesso.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t41.sql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(utenze del calcolo nel motore, script 41),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conteggi: 3 utenze, 1 senza categoria, 1 con categoria fuori delibera (classi numeriche o con spazi riconosciute);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rifiutata con utenze senza categoria o fuori delibera; dopo la correzione dal modulo i conteggi tornano a zero;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rifiutata se il risultato ha usato un numero diverso di utenze (2 contro 3) o è di prima (senza il numero di utenze);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accettata con tutte le utenze in delibera;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calcolo senza utenze né conferimenti: conferma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calcolo con i soli conferimenti del tracciato e risultato di prima: confermato come prima;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anonimo: nessun accesso ai conteggi.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t40.sql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(Banca Dati Utenze, script 40):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caricamento valido di 2 utenze domestiche e 1 non domestica; categoria di simulazione proposta uguale alla tariffaria;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modulo: nuova utenza, modifica (audit con i campi cambiati), codice doppio e campi mancanti con messaggi in italiano, cancellazione;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rifiutati: senza indifferenziato, kg negativo, frazione sconosciuta, svuotamenti decimali, componenti su non domestica, codice doppio;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nessuna lettura diretta; elenco e ricerca con voce di audit; lettura per il calcolo senza nomi e indirizzi;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Operatore consulta ma non carica né svuota; Comune e anonimo nulla;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una sola voce di audit per caricamento (con il numero di utenze);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il caricamento azzera il risultato della bozza; la nuova versione copia le utenze; calcolo confermato immutabile;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t39.sql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(rilievi N02 e N03, script 39),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3 senza feedback: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apertura del feedback: 30 giorni, fase 3 aperta con scadenza 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giorno di apertura e ultimo giorno: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termine passato: chiusura ordinaria con fase 3 completata;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nuovo feedback a fase 3 completata: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errata corrige: scadenza riallineata;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progetto ritirato: chiusura solo motivata, motivazione nell'audit;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Comune: rifiutato; fuso orario indifferente;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5: rifiutata senza ente o con un ente disattivato, aperta con un ente attivo (+75 giorni); ente non rimovibile a fase aperta, sostituibile;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20/10/2026: 11 rifiuti attesi, conferma ordinaria possibile e rieseguibilità con dati vecchi;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del 21/10/2026: 38 tabelle, 3 utenti, 2 file nell'elenco; il JSON ripristinato in un database nuovo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dà righe identiche; negata al ruolo authenticated;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t37.sql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(pallino verde delle Notizie CO2): 2 notizie nuove mai visitata, 0 dopo la visita, 1 dopo una nuova notizia, scrittura diretta negata, Operatore 0;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(News): limite di una ricerca ogni 100 minuti (10 con l'Amministratore), doppioni rifiutati, l'Amministratore legge e nasconde, Operatore, Cliente e anonimo non vedono nulla, scrittura diretta e avvio della ricerca negati dal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ripristino da backup (21/10/2026 11:15).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Procedura: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banco, popolato con le prove, è stato esportato come un backup automatico (35 tabelle e 3 utenti). Il database è stato ricostruito con gli script 01-35 ed è stato eseguito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dati identici al backup;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1 riga segnalata come «RIGA NON RIPRISTINATA»: era un dato di prova negativo inserito di proposito per lo script 35;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contatori riallineati: un nuovo calcolo e un nuovo evento di audit si creano senza conflitti;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seconda esecuzione fermata dal controllo «database già pieno», senza nessuna modifica.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ripetere ogni tre mesi su un progetto Supabase di prova.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carico del calcolo dei crediti: Borgoval (26/10/2026 10:25).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scenario del simulatore e calcolo 2027 del Progetto CWP-2026-0001 generati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strumenti/borgoval_prova.mjs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borgoval_prova.sql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eseguito in produzione su richiesta di Luca): dati ISPRA 2024 di Casalmaggiore riportati a 26.382 abitanti, 9.000 utenze domestiche e 1.778 non domestiche inventate, kg e svuotamenti di secco e organico.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al primo «Calcola» il motore usava 1.000 utenze su 10.778 (ISS-041, corretto e in produzione alle 10:25);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dopo la correzione 10.778 utenze lette in pochi secondi; crediti netti 3.077,657 tCO₂eq, identici al motore eseguito fuori dal portale con gli stessi dati;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scenario del simulatore: margine positivo in tutti i 10 anni, totale 1.644.190 €, uguale al calcolo fuori dal portale.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2607"/>
        <w:gridCol w:w="1885"/>
        <w:gridCol w:w="3136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Terza sessione (nuovi rilievi V01)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21/10, in sola lettura; file ricevuto da Luca il 22/10 alle 07:46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 Belfiore / AltraLeonia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Sei rilievi N01-N06 (da una mail di Rocío e da lettura di portale, audit e sorgente), senza scritture sul portale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8b.9b), D05-R1, O01 (10.5, 10.5b) e ISS-035 (8b.7, 8b.7b). In produzione dal 22/10: N01 (8b.7d, 8b.7f), N02 (4.1, 4.9-4.9d), N03 (5.0, 5.1c), N04 (10.10f), N05 (1.2d), N06 (7.24).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 (14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11:57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dell'osservatorio News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15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12:25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Bing; prova Bing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(8)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12:35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individuata (blocco di Google verso i server di Supabase), tramite per Google News; sezione rinominata «Notizie CO2»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12:46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t37.sql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(pallino verde delle Notizie CO2)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tramite per Google News bloccato da Google; sostituito da 8 siti di notizie ambientali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 chiuso: Bing e 12 siti verificati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 al posto di Apps Script; prova di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08:15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sul ramo e da ritestare, N05 e N06 in attesa di regola;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(16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t39.sql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13:40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14:50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in produzione di N01-N04, ISS-038 e script 38-39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16:50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t40.sql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(Banca Dati Utenze)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10:30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Utenze del passo 5a nel motore: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utenzeNelCalcolo.test.mjs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(18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t41.sql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11:00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crediti nella Dashboard: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t42.sql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18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progetti (Caso 1 / Caso 2):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valoreProgetti.test.mjs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t43.sql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19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12:10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Colori dello stato delle fasi: verifica a schermo (computer e telefono); 19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34 in produzione dopo la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t34.sql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nell'ordine della produzione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t44.sql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(Marketing, script 44) con l'errore dell'id di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mkt_richiesta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trovato e corretto; nuova serie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marketing.test.mjs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(20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del Marketing: due errori dell'importazione da IndicePA trovati al primo aggiornamento in produzione (righe doppie per Comune, lettura degli uffici troppo grande) e corretti; banche dati caricate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16:00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ISS-039 (Rapporto su Progetto non registrato) e ISS-040 (elenco dei Comuni vuoto) corretti e in produzione con lo script 45;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t45.sql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 12:05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Lettore dei siti (script 46, versione gratuita):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prova in produzione su 11 enti, serie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marketing.test.mjs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estesa (15 prove)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 12:20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Listino obbligatorio (script 47) e Progetti esistenti a Caso 1;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t47.sql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26/10/2026 08:10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Revisione generale: riepilogo aggiornato al 26/10; nessuna nuova segnalazione aperta dopo ISS-040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26/10/2026 10:30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ISS-041 (calcolo con più di 1.000 utenze) trovato con la prova di Borgoval, corretto, in produzione e verificato; prova di Borgoval nel registro dei test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1.26 · 26/10/2026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1.26 · 26/10/2026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1.26)</dc:title>
  <dc:creator>Fondazione Operate</dc:creator>
  <cp:lastModifiedBy>Un-named</cp:lastModifiedBy>
  <cp:revision>1</cp:revision>
  <dcterms:created xsi:type="dcterms:W3CDTF">2026-10-26T09:27:46.313Z</dcterms:created>
  <dcterms:modified xsi:type="dcterms:W3CDTF">2026-10-26T09:27:46.314Z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