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(cronologia, artefatti, Da fare subito).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del 26/10: lettura dei siti completata (primo giro), funzionalità e «Da fare subito»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8.2 del 26/10/2026.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26/10/2026)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64</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65</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81</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26/10/2026)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 Dal 23/10 il Rapporto si crea solo per un Progetto registrato (fase 6 completata, script 45); dal 25/10 il listino Caso 1 / Caso 2 è obbligatorio per ogni Progetto (script 47)</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e 5.818 gestori in categoria 1. Dal 25/10 lettura automatica e gratuita dei siti (script 46): al 26/10 7.904 Comuni con 6.182 email generiche, 7.504 PEC, 3.866 telefoni, email degli uffici tributi o ambiente per 3.092 Comuni; gestori: 166 lombardi delle classi A-C verificati a mano, 135 email generiche. Mancano: dominio email verificato, verifica legale delle email promozionali, sito e recapiti di circa 5.650 gestori senza sito conosciuto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26 ottobre 2026</w:t>
      </w:r>
    </w:p>
    <w:p>
      <w:pPr>
        <w:pStyle w:val="ListParagraph"/>
        <w:numPr>
          <w:ilvl w:val="0"/>
          <w:numId w:val="3"/>
        </w:numPr>
        <w:spacing w:after="70" w:line="290"/>
      </w:pPr>
      <w:r>
        <w:rPr>
          <w:rFonts w:ascii="Arial" w:cs="Arial" w:eastAsia="Arial" w:hAnsi="Arial"/>
          <w:b/>
          <w:bCs/>
          <w:color w:val="1B2118"/>
          <w:sz w:val="21"/>
          <w:szCs w:val="21"/>
        </w:rPr>
        <w:t xml:space="preserve">Traccia DPIA della Banca Dati Utenze</w:t>
      </w:r>
      <w:r>
        <w:rPr>
          <w:rFonts w:ascii="Arial" w:cs="Arial" w:eastAsia="Arial" w:hAnsi="Arial"/>
          <w:color w:val="1B2118"/>
          <w:sz w:val="21"/>
          <w:szCs w:val="21"/>
        </w:rPr>
        <w:t xml:space="preserve"> (richiesta di Luca: «puoi scriverla e pubblicarla nell'area admin?»): nuovo documento </w:t>
      </w:r>
      <w:r>
        <w:rPr>
          <w:rFonts w:ascii="Consolas" w:cs="Consolas" w:eastAsia="Consolas" w:hAnsi="Consolas"/>
          <w:color w:val="2F5D3A"/>
          <w:sz w:val="21"/>
          <w:szCs w:val="21"/>
        </w:rPr>
        <w:t xml:space="preserve">docs/dpia.md</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public/documentazione/DPIA_Banca_Dati_Utenze_Portale_CWP.docx</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.pdf</w:t>
      </w:r>
      <w:r>
        <w:rPr>
          <w:rFonts w:ascii="Arial" w:cs="Arial" w:eastAsia="Arial" w:hAnsi="Arial"/>
          <w:color w:val="1B2118"/>
          <w:sz w:val="21"/>
          <w:szCs w:val="21"/>
        </w:rPr>
        <w:t xml:space="preserve"> (rev. 1.0), nell'area Documentazione solo per gli Amministratori, con Word da mandare al Comune. Contiene: perché serve (criteri WP248), dati trattati, ciclo di vita, chi vede cosa, servizi e luogo dei dati (Supabase in Germania; copia di sicurezza su Mac e Google Drive con le utenze), ruoli (Comune titolare, Fondazione responsabile da confermare), base giuridica da completare, proporzionalità con due proposte (pseudonimizzazione: solo codici utenza; conservazione delle utenze), 10 rischi con livello prima e dopo il piano, misure presenti, piano d'azione A1-A12, parere del DPO e approvazione del titolare in bianco. Non è un parere legale. Configurazione in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(«dpia») e </w:t>
      </w:r>
      <w:r>
        <w:rPr>
          <w:rFonts w:ascii="Consolas" w:cs="Consolas" w:eastAsia="Consolas" w:hAnsi="Consolas"/>
          <w:color w:val="2F5D3A"/>
          <w:sz w:val="21"/>
          <w:szCs w:val="21"/>
        </w:rPr>
        <w:t xml:space="preserve">src/pages/Documentazione.jsx</w:t>
      </w:r>
      <w:r>
        <w:rPr>
          <w:rFonts w:ascii="Arial" w:cs="Arial" w:eastAsia="Arial" w:hAnsi="Arial"/>
          <w:color w:val="1B2118"/>
          <w:sz w:val="21"/>
          <w:szCs w:val="21"/>
        </w:rPr>
        <w:t xml:space="preserve">. Verifica: PDF di 22 pagine controllato a schermo, prove e build.</w:t>
      </w:r>
    </w:p>
    <w:p>
      <w:pPr>
        <w:pStyle w:val="ListParagraph"/>
        <w:numPr>
          <w:ilvl w:val="0"/>
          <w:numId w:val="3"/>
        </w:numPr>
        <w:spacing w:after="70" w:line="290"/>
      </w:pPr>
      <w:r>
        <w:rPr>
          <w:rFonts w:ascii="Arial" w:cs="Arial" w:eastAsia="Arial" w:hAnsi="Arial"/>
          <w:b/>
          <w:bCs/>
          <w:color w:val="1B2118"/>
          <w:sz w:val="21"/>
          <w:szCs w:val="21"/>
        </w:rPr>
        <w:t xml:space="preserve">Lettura dei siti: primo giro completo</w:t>
      </w:r>
      <w:r>
        <w:rPr>
          <w:rFonts w:ascii="Arial" w:cs="Arial" w:eastAsia="Arial" w:hAnsi="Arial"/>
          <w:color w:val="1B2118"/>
          <w:sz w:val="21"/>
          <w:szCs w:val="21"/>
        </w:rPr>
        <w:t xml:space="preserve"> (dalle 11:59 del 25/10 alle 04:00 del 26/10, gratuita). Comuni: 5.365 letti, 2.126 non letti (985 siti chiedono ai programmi automatici di non essere letti — robots.txt, rispettato —, 688 senza risposta in tempo, 374 connessioni rifiutate, 96 errori HTTP, 3 letture interrotte). Gestori: 170 letti, 21 non letti. Risultato nelle banche dati: Comuni con email generica da 5.642 a 6.182, con telefono 3.866; dai siti 1.819 referenti «tributi» e 1.210 «ambiente» (email o telefono dell'ufficio; 298 referenti con il nome), 124 amministratori e 36 direttori generali di gestori; 3.092 Comuni con l'email dell'ufficio tributi o ambiente. Alle 08:05 rimessi in coda una volta i 1.162 siti che non avevano risposto (non quelli che rifiutano i programmi automatici).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07:59): Registro (intestazione, funzionalità, «Da fare subito», capitolo 16), manuali, registro issue, istruzioni di ripristino, presentazione (nuova slide «Novità del 25 e 26 ottobre»), base di conoscenza dell'assistente e analisi dei requisiti nel Progetto claude.ai.</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4"/>
        <w:gridCol w:w="3427"/>
        <w:gridCol w:w="3427"/>
      </w:tblGrid>
      <w:tr>
        <w:trPr>
          <w:tblHeader/>
        </w:trPr>
        <w:tc>
          <w:tcPr>
            <w:tcW w:type="dxa" w:w="2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c1qo99wi67wwzl6ekagz">
              <w:r>
                <w:rPr>
                  <w:rFonts w:ascii="Arial" w:cs="Arial" w:eastAsia="Arial" w:hAnsi="Arial"/>
                  <w:color w:val="2F5D3A"/>
                  <w:sz w:val="18"/>
                  <w:szCs w:val="18"/>
                  <w:u w:val="single"/>
                </w:rPr>
                <w:t xml:space="preserve">https://claude.ai/artifact/L9duSXhNfKejbz6RKXDQQv</w:t>
              </w:r>
            </w:hyperlink>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atnz5cjie7y48konjglz">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7hhwrsr7cbxuikhjxube">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tvwwmjn7mrte8fs7okpds">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in Word/PDF (dal 26/10/2026)</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docs/dpia.md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public/documentazione/DPIA_Banca_Dati_Utenze_Portale_CWP.docx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(art. 35 GDPR) da completare dal Comune e dal suo DPO prima di caricare utenze reali; si aggiorna quando cambia il trattamento delle utenze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26/10/2026)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Decidere con la Fondazione quale impostazione del simulatore usare per le stime ufficiali: con il metodo «bilancio del Comune» i 5 Comuni di prova hanno ricavi inferiori al costo del Caso 1 (scenari del 25/10), con il metodo «per utenza» della pagina /scopri le stime sono più alte.</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 </w:t>
      </w:r>
      <w:r>
        <w:rPr>
          <w:rFonts w:ascii="Arial" w:cs="Arial" w:eastAsia="Arial" w:hAnsi="Arial"/>
          <w:b/>
          <w:bCs/>
          <w:color w:val="1B2118"/>
          <w:sz w:val="21"/>
          <w:szCs w:val="21"/>
        </w:rPr>
        <w:t xml:space="preserve">Traccia DPIA pronta dal 26/10</w:t>
      </w:r>
      <w:r>
        <w:rPr>
          <w:rFonts w:ascii="Arial" w:cs="Arial" w:eastAsia="Arial" w:hAnsi="Arial"/>
          <w:color w:val="1B2118"/>
          <w:sz w:val="21"/>
          <w:szCs w:val="21"/>
        </w:rPr>
        <w:t xml:space="preserve"> (area Documentazione, Word da mandare al Comune): decidere la pseudonimizzazione (solo codici utenza), accendere la verifica in due passaggi, accettare i DPA di Supabase e Google, proteggere le copie di sicurezza (piano d'azione A1-A12 della traccia).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b/>
          <w:bCs/>
          <w:color w:val="1B2118"/>
          <w:sz w:val="21"/>
          <w:szCs w:val="21"/>
        </w:rPr>
        <w:t xml:space="preserve">Gestori senza sito</w:t>
      </w:r>
      <w:r>
        <w:rPr>
          <w:rFonts w:ascii="Arial" w:cs="Arial" w:eastAsia="Arial" w:hAnsi="Arial"/>
          <w:color w:val="1B2118"/>
          <w:sz w:val="21"/>
          <w:szCs w:val="21"/>
        </w:rPr>
        <w:t xml:space="preserve"> (circa 5.650): trovare sito e recapiti a giri di circa 90 imprese, prima le classi A-C fuori dalla Lombardia (circa 1.000); poi la lettura automatica completa i dati dai siti.</w:t>
      </w:r>
    </w:p>
    <w:p>
      <w:pPr>
        <w:pStyle w:val="ListParagraph"/>
        <w:numPr>
          <w:ilvl w:val="0"/>
          <w:numId w:val="3"/>
        </w:numPr>
        <w:spacing w:after="70" w:line="290"/>
      </w:pPr>
      <w:r>
        <w:rPr>
          <w:rFonts w:ascii="Arial" w:cs="Arial" w:eastAsia="Arial" w:hAnsi="Arial"/>
          <w:color w:val="1B2118"/>
          <w:sz w:val="21"/>
          <w:szCs w:val="21"/>
        </w:rPr>
        <w:t xml:space="preserve">Lettura dei siti: seconda lettura dei 1.162 siti che non avevano risposto (in corso dal 26/10), poi conteggio finale.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44.647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598</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672</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1764</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r>
        <w:rPr>
          <w:rFonts w:ascii="Arial" w:cs="Arial" w:eastAsia="Arial" w:hAnsi="Arial"/>
          <w:color w:val="1B2118"/>
          <w:sz w:val="21"/>
          <w:szCs w:val="21"/>
        </w:rPr>
        <w:t xml:space="preserve"> — primo giro completo il 26/10: 5.365 Comuni e 170 gestori letti; 985 siti rifiutano i programmi automatici (robots.txt, rispettato); risultati nella cronologia.</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8.2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8.2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c1qo99wi67wwzl6ekagz" Type="http://schemas.openxmlformats.org/officeDocument/2006/relationships/hyperlink" Target="https://claude.ai/artifact/L9duSXhNfKejbz6RKXDQQv" TargetMode="External"/><Relationship Id="rIddatnz5cjie7y48konjglz" Type="http://schemas.openxmlformats.org/officeDocument/2006/relationships/hyperlink" Target="https://claude.ai/code/artifact/e2dd2bd5-8042-4744-8d5a-54d34dc50153" TargetMode="External"/><Relationship Id="rIdd7hhwrsr7cbxuikhjxube" Type="http://schemas.openxmlformats.org/officeDocument/2006/relationships/hyperlink" Target="https://claude.ai/code/artifact/cc36ab09-61e6-4dad-aaf0-4082ea0a46da" TargetMode="External"/><Relationship Id="rIdtvwwmjn7mrte8fs7okpds"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8.2)</dc:title>
  <dc:creator>Fondazione Operate</dc:creator>
  <cp:lastModifiedBy>Un-named</cp:lastModifiedBy>
  <cp:revision>1</cp:revision>
  <dcterms:created xsi:type="dcterms:W3CDTF">2026-10-26T08:17:19.048Z</dcterms:created>
  <dcterms:modified xsi:type="dcterms:W3CDTF">2026-10-26T08:17:19.048Z</dcterms:modified>
</cp:coreProperties>
</file>

<file path=docProps/custom.xml><?xml version="1.0" encoding="utf-8"?>
<Properties xmlns="http://schemas.openxmlformats.org/officeDocument/2006/custom-properties" xmlns:vt="http://schemas.openxmlformats.org/officeDocument/2006/docPropsVTypes"/>
</file>