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2.6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7</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8</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10</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12</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13</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14</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16</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17</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19</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20</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21</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23</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26</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35</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40</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41</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42</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43</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mna-f8uqfcve8xvigojef">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8"/>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8"/>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19"/>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3"/>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3"/>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4"/>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6"/>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7"/>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8"/>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8"/>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8"/>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2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0"/>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0"/>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20% è un valore cautelativo) e note sulle ipotesi.</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scegliete i </w:t>
      </w:r>
      <w:r>
        <w:rPr>
          <w:rFonts w:ascii="Arial" w:cs="Arial" w:eastAsia="Arial" w:hAnsi="Arial"/>
          <w:b/>
          <w:bCs/>
          <w:color w:val="1B2118"/>
          <w:sz w:val="21"/>
          <w:szCs w:val="21"/>
        </w:rPr>
        <w:t xml:space="preserve">costi a carico del Comune o del gestore</w:t>
      </w:r>
      <w:r>
        <w:rPr>
          <w:rFonts w:ascii="Arial" w:cs="Arial" w:eastAsia="Arial" w:hAnsi="Arial"/>
          <w:color w:val="1B2118"/>
          <w:sz w:val="21"/>
          <w:szCs w:val="21"/>
        </w:rPr>
        <w:t xml:space="preserve"> (IVA esclusa):</w:t>
      </w:r>
    </w:p>
    <w:p>
      <w:pPr>
        <w:pStyle w:val="ListParagraph"/>
        <w:numPr>
          <w:ilvl w:val="0"/>
          <w:numId w:val="2"/>
        </w:numPr>
        <w:spacing w:after="70" w:line="290"/>
      </w:pPr>
      <w:r>
        <w:rPr>
          <w:rFonts w:ascii="Arial" w:cs="Arial" w:eastAsia="Arial" w:hAnsi="Arial"/>
          <w:b/>
          <w:bCs/>
          <w:color w:val="1B2118"/>
          <w:sz w:val="21"/>
          <w:szCs w:val="21"/>
        </w:rPr>
        <w:t xml:space="preserve">Contratti tipo della Fondazione</w:t>
      </w:r>
      <w:r>
        <w:rPr>
          <w:rFonts w:ascii="Arial" w:cs="Arial" w:eastAsia="Arial" w:hAnsi="Arial"/>
          <w:color w:val="1B2118"/>
          <w:sz w:val="21"/>
          <w:szCs w:val="21"/>
        </w:rPr>
        <w:t xml:space="preserve"> (predefinito): le voci del contratto di partecipazione al Programma (registrazione del Progetto, dei crediti del Progetto, del Rapporto di Monitoraggio e dei crediti del Rapporto) e del contratto di consulenza (redazione del Progetto e del Rapporto), per ogni anno del periodo, con i valori delle bozze EsaCom del 15/10/2026; le voci «per abitante» si moltiplicano per la popolazione del Comune e tutte si possono modificare;</w:t>
      </w:r>
    </w:p>
    <w:p>
      <w:pPr>
        <w:pStyle w:val="ListParagraph"/>
        <w:numPr>
          <w:ilvl w:val="0"/>
          <w:numId w:val="2"/>
        </w:numPr>
        <w:spacing w:after="70" w:line="290"/>
      </w:pP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le tariffe massime pubblicate (registrazione, emissione e vendita dei crediti);</w:t>
      </w:r>
    </w:p>
    <w:p>
      <w:pPr>
        <w:pStyle w:val="ListParagraph"/>
        <w:numPr>
          <w:ilvl w:val="0"/>
          <w:numId w:val="2"/>
        </w:numPr>
        <w:spacing w:after="70" w:line="290"/>
      </w:pPr>
      <w:r>
        <w:rPr>
          <w:rFonts w:ascii="Arial" w:cs="Arial" w:eastAsia="Arial" w:hAnsi="Arial"/>
          <w:b/>
          <w:bCs/>
          <w:color w:val="1B2118"/>
          <w:sz w:val="21"/>
          <w:szCs w:val="21"/>
        </w:rPr>
        <w:t xml:space="preserve">Solo i costi indicati sotto</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consulenza,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Per un Comune piccolo le voci fisse dei contratti (registrazioni del Progetto e del Rapporto) pesano molto: nei contratti EsaCom i Comuni sono aggregati in un unico progetto (154.247 abitanti). Inoltre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1"/>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1"/>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1"/>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2"/>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3"/>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4"/>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4"/>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6"/>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2.6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2.6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mna-f8uqfcve8xvigojef"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2.6)</dc:title>
  <dc:creator>Fondazione Operate</dc:creator>
  <cp:lastModifiedBy>Un-named</cp:lastModifiedBy>
  <cp:revision>1</cp:revision>
  <dcterms:created xsi:type="dcterms:W3CDTF">2026-10-19T10:30:14.778Z</dcterms:created>
  <dcterms:modified xsi:type="dcterms:W3CDTF">2026-10-19T10:30:14.778Z</dcterms:modified>
</cp:coreProperties>
</file>

<file path=docProps/custom.xml><?xml version="1.0" encoding="utf-8"?>
<Properties xmlns="http://schemas.openxmlformats.org/officeDocument/2006/custom-properties" xmlns:vt="http://schemas.openxmlformats.org/officeDocument/2006/docPropsVTypes"/>
</file>