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1.0 del 18/10/2026.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Cruscotto</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8</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9</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8">
        <w:r>
          <w:rPr>
            <w:rFonts w:ascii="Arial" w:cs="Arial" w:eastAsia="Arial" w:hAnsi="Arial"/>
            <w:color w:val="1B2118"/>
            <w:sz w:val="22"/>
            <w:szCs w:val="22"/>
          </w:rPr>
          <w:t xml:space="preserve">8.  Consultazione pubblica</w:t>
        </w:r>
        <w:r>
          <w:rPr>
            <w:rFonts w:ascii="Arial" w:cs="Arial" w:eastAsia="Arial" w:hAnsi="Arial"/>
            <w:color w:val="1B2118"/>
            <w:sz w:val="22"/>
            <w:szCs w:val="22"/>
          </w:rPr>
          <w:tab/>
          <w:t xml:space="preserve">11</w:t>
        </w:r>
      </w:hyperlink>
    </w:p>
    <w:p>
      <w:pPr>
        <w:tabs>
          <w:tab w:val="right" w:pos="9638" w:leader="dot"/>
        </w:tabs>
        <w:spacing w:after="130"/>
      </w:pPr>
      <w:hyperlink w:history="1" w:anchor="cap9">
        <w:r>
          <w:rPr>
            <w:rFonts w:ascii="Arial" w:cs="Arial" w:eastAsia="Arial" w:hAnsi="Arial"/>
            <w:color w:val="1B2118"/>
            <w:sz w:val="22"/>
            <w:szCs w:val="22"/>
          </w:rPr>
          <w:t xml:space="preserve">9.  Pagamenti</w:t>
        </w:r>
        <w:r>
          <w:rPr>
            <w:rFonts w:ascii="Arial" w:cs="Arial" w:eastAsia="Arial" w:hAnsi="Arial"/>
            <w:color w:val="1B2118"/>
            <w:sz w:val="22"/>
            <w:szCs w:val="22"/>
          </w:rPr>
          <w:tab/>
          <w:t xml:space="preserve">12</w:t>
        </w:r>
      </w:hyperlink>
    </w:p>
    <w:p>
      <w:pPr>
        <w:tabs>
          <w:tab w:val="right" w:pos="9638" w:leader="dot"/>
        </w:tabs>
        <w:spacing w:after="130"/>
      </w:pPr>
      <w:hyperlink w:history="1" w:anchor="cap10">
        <w:r>
          <w:rPr>
            <w:rFonts w:ascii="Arial" w:cs="Arial" w:eastAsia="Arial" w:hAnsi="Arial"/>
            <w:color w:val="1B2118"/>
            <w:sz w:val="22"/>
            <w:szCs w:val="22"/>
          </w:rPr>
          <w:t xml:space="preserve">10.  Export del fascicolo</w:t>
        </w:r>
        <w:r>
          <w:rPr>
            <w:rFonts w:ascii="Arial" w:cs="Arial" w:eastAsia="Arial" w:hAnsi="Arial"/>
            <w:color w:val="1B2118"/>
            <w:sz w:val="22"/>
            <w:szCs w:val="22"/>
          </w:rPr>
          <w:tab/>
          <w:t xml:space="preserve">13</w:t>
        </w:r>
      </w:hyperlink>
    </w:p>
    <w:p>
      <w:pPr>
        <w:tabs>
          <w:tab w:val="right" w:pos="9638" w:leader="dot"/>
        </w:tabs>
        <w:spacing w:after="130"/>
      </w:pPr>
      <w:hyperlink w:history="1" w:anchor="cap11">
        <w:r>
          <w:rPr>
            <w:rFonts w:ascii="Arial" w:cs="Arial" w:eastAsia="Arial" w:hAnsi="Arial"/>
            <w:color w:val="1B2118"/>
            <w:sz w:val="22"/>
            <w:szCs w:val="22"/>
          </w:rPr>
          <w:t xml:space="preserve">11.  Notifiche ed email</w:t>
        </w:r>
        <w:r>
          <w:rPr>
            <w:rFonts w:ascii="Arial" w:cs="Arial" w:eastAsia="Arial" w:hAnsi="Arial"/>
            <w:color w:val="1B2118"/>
            <w:sz w:val="22"/>
            <w:szCs w:val="22"/>
          </w:rPr>
          <w:tab/>
          <w:t xml:space="preserve">14</w:t>
        </w:r>
      </w:hyperlink>
    </w:p>
    <w:p>
      <w:pPr>
        <w:tabs>
          <w:tab w:val="right" w:pos="9638" w:leader="dot"/>
        </w:tabs>
        <w:spacing w:after="130"/>
      </w:pPr>
      <w:hyperlink w:history="1" w:anchor="cap12">
        <w:r>
          <w:rPr>
            <w:rFonts w:ascii="Arial" w:cs="Arial" w:eastAsia="Arial" w:hAnsi="Arial"/>
            <w:color w:val="1B2118"/>
            <w:sz w:val="22"/>
            <w:szCs w:val="22"/>
          </w:rPr>
          <w:t xml:space="preserve">12.  Gestione utenti</w:t>
        </w:r>
        <w:r>
          <w:rPr>
            <w:rFonts w:ascii="Arial" w:cs="Arial" w:eastAsia="Arial" w:hAnsi="Arial"/>
            <w:color w:val="1B2118"/>
            <w:sz w:val="22"/>
            <w:szCs w:val="22"/>
          </w:rPr>
          <w:tab/>
          <w:t xml:space="preserve">15</w:t>
        </w:r>
      </w:hyperlink>
    </w:p>
    <w:p>
      <w:pPr>
        <w:tabs>
          <w:tab w:val="right" w:pos="9638" w:leader="dot"/>
        </w:tabs>
        <w:spacing w:after="130"/>
      </w:pPr>
      <w:hyperlink w:history="1" w:anchor="cap13">
        <w:r>
          <w:rPr>
            <w:rFonts w:ascii="Arial" w:cs="Arial" w:eastAsia="Arial" w:hAnsi="Arial"/>
            <w:color w:val="1B2118"/>
            <w:sz w:val="22"/>
            <w:szCs w:val="22"/>
          </w:rPr>
          <w:t xml:space="preserve">13.  Audit trail</w:t>
        </w:r>
        <w:r>
          <w:rPr>
            <w:rFonts w:ascii="Arial" w:cs="Arial" w:eastAsia="Arial" w:hAnsi="Arial"/>
            <w:color w:val="1B2118"/>
            <w:sz w:val="22"/>
            <w:szCs w:val="22"/>
          </w:rPr>
          <w:tab/>
          <w:t xml:space="preserve">16</w:t>
        </w:r>
      </w:hyperlink>
    </w:p>
    <w:p>
      <w:pPr>
        <w:tabs>
          <w:tab w:val="right" w:pos="9638" w:leader="dot"/>
        </w:tabs>
        <w:spacing w:after="130"/>
      </w:pPr>
      <w:hyperlink w:history="1" w:anchor="cap14">
        <w:r>
          <w:rPr>
            <w:rFonts w:ascii="Arial" w:cs="Arial" w:eastAsia="Arial" w:hAnsi="Arial"/>
            <w:color w:val="1B2118"/>
            <w:sz w:val="22"/>
            <w:szCs w:val="22"/>
          </w:rPr>
          <w:t xml:space="preserve">14.  Impostazioni: durata delle fasi</w:t>
        </w:r>
        <w:r>
          <w:rPr>
            <w:rFonts w:ascii="Arial" w:cs="Arial" w:eastAsia="Arial" w:hAnsi="Arial"/>
            <w:color w:val="1B2118"/>
            <w:sz w:val="22"/>
            <w:szCs w:val="22"/>
          </w:rPr>
          <w:tab/>
          <w:t xml:space="preserve">17</w:t>
        </w:r>
      </w:hyperlink>
    </w:p>
    <w:p>
      <w:pPr>
        <w:tabs>
          <w:tab w:val="right" w:pos="9638" w:leader="dot"/>
        </w:tabs>
        <w:spacing w:after="130"/>
      </w:pPr>
      <w:hyperlink w:history="1" w:anchor="cap15">
        <w:r>
          <w:rPr>
            <w:rFonts w:ascii="Arial" w:cs="Arial" w:eastAsia="Arial" w:hAnsi="Arial"/>
            <w:color w:val="1B2118"/>
            <w:sz w:val="22"/>
            <w:szCs w:val="22"/>
          </w:rPr>
          <w:t xml:space="preserve">15.  Calcolo dei crediti CWP</w:t>
        </w:r>
        <w:r>
          <w:rPr>
            <w:rFonts w:ascii="Arial" w:cs="Arial" w:eastAsia="Arial" w:hAnsi="Arial"/>
            <w:color w:val="1B2118"/>
            <w:sz w:val="22"/>
            <w:szCs w:val="22"/>
          </w:rPr>
          <w:tab/>
          <w:t xml:space="preserve">18</w:t>
        </w:r>
      </w:hyperlink>
    </w:p>
    <w:p>
      <w:pPr>
        <w:tabs>
          <w:tab w:val="right" w:pos="9638" w:leader="dot"/>
        </w:tabs>
        <w:spacing w:after="130"/>
      </w:pPr>
      <w:hyperlink w:history="1" w:anchor="cap16">
        <w:r>
          <w:rPr>
            <w:rFonts w:ascii="Arial" w:cs="Arial" w:eastAsia="Arial" w:hAnsi="Arial"/>
            <w:color w:val="1B2118"/>
            <w:sz w:val="22"/>
            <w:szCs w:val="22"/>
          </w:rPr>
          <w:t xml:space="preserve">16.  Documentazione e manuali</w:t>
        </w:r>
        <w:r>
          <w:rPr>
            <w:rFonts w:ascii="Arial" w:cs="Arial" w:eastAsia="Arial" w:hAnsi="Arial"/>
            <w:color w:val="1B2118"/>
            <w:sz w:val="22"/>
            <w:szCs w:val="22"/>
          </w:rPr>
          <w:tab/>
          <w:t xml:space="preserve">22</w:t>
        </w:r>
      </w:hyperlink>
    </w:p>
    <w:p>
      <w:pPr>
        <w:tabs>
          <w:tab w:val="right" w:pos="9638" w:leader="dot"/>
        </w:tabs>
        <w:spacing w:after="130"/>
      </w:pPr>
      <w:hyperlink w:history="1" w:anchor="cap17">
        <w:r>
          <w:rPr>
            <w:rFonts w:ascii="Arial" w:cs="Arial" w:eastAsia="Arial" w:hAnsi="Arial"/>
            <w:color w:val="1B2118"/>
            <w:sz w:val="22"/>
            <w:szCs w:val="22"/>
          </w:rPr>
          <w:t xml:space="preserve">17.  Manutenzione ed emergenze</w:t>
        </w:r>
        <w:r>
          <w:rPr>
            <w:rFonts w:ascii="Arial" w:cs="Arial" w:eastAsia="Arial" w:hAnsi="Arial"/>
            <w:color w:val="1B2118"/>
            <w:sz w:val="22"/>
            <w:szCs w:val="22"/>
          </w:rPr>
          <w:tab/>
          <w:t xml:space="preserve">23</w:t>
        </w:r>
      </w:hyperlink>
    </w:p>
    <w:p>
      <w:pPr>
        <w:tabs>
          <w:tab w:val="right" w:pos="9638" w:leader="dot"/>
        </w:tabs>
        <w:spacing w:after="130"/>
      </w:pPr>
      <w:hyperlink w:history="1" w:anchor="cap18">
        <w:r>
          <w:rPr>
            <w:rFonts w:ascii="Arial" w:cs="Arial" w:eastAsia="Arial" w:hAnsi="Arial"/>
            <w:color w:val="1B2118"/>
            <w:sz w:val="22"/>
            <w:szCs w:val="22"/>
          </w:rPr>
          <w:t xml:space="preserve">18.  Funzioni in arrivo</w:t>
        </w:r>
        <w:r>
          <w:rPr>
            <w:rFonts w:ascii="Arial" w:cs="Arial" w:eastAsia="Arial" w:hAnsi="Arial"/>
            <w:color w:val="1B2118"/>
            <w:sz w:val="22"/>
            <w:szCs w:val="22"/>
          </w:rPr>
          <w:tab/>
          <w:t xml:space="preserve">24</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08"/>
        <w:gridCol w:w="2920"/>
        <w:gridCol w:w="2010"/>
      </w:tblGrid>
      <w:tr>
        <w:trPr>
          <w:tblHeader/>
        </w:trPr>
        <w:tc>
          <w:tcPr>
            <w:tcW w:type="dxa" w:w="47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9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4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fasi, scadenze</w:t>
            </w:r>
          </w:p>
        </w:tc>
        <w:tc>
          <w:tcPr>
            <w:tcW w:type="dxa" w:w="29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4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consultazione, pagamenti</w:t>
            </w:r>
          </w:p>
        </w:tc>
        <w:tc>
          <w:tcPr>
            <w:tcW w:type="dxa" w:w="29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4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9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4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9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4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9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4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(durata delle fasi)</w:t>
            </w:r>
          </w:p>
        </w:tc>
        <w:tc>
          <w:tcPr>
            <w:tcW w:type="dxa" w:w="29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4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9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4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9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il suo rapporto viene caricato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modifica di una scadenza,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6m6gwmxzyktur9i-yboec">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Utenti, Audit, Crediti CWP,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Cruscotto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Cruscotto</w:t>
      </w:r>
      <w:r>
        <w:rPr>
          <w:rFonts w:ascii="Arial" w:cs="Arial" w:eastAsia="Arial" w:hAnsi="Arial"/>
          <w:color w:val="1B2118"/>
          <w:sz w:val="21"/>
          <w:szCs w:val="21"/>
        </w:rPr>
        <w:t xml:space="preserve"> è la pagina iniziale dello staff: mostra in un'unica tabella tutte le pratiche, Progetti e Rapporti, con la fase corrente, la scadenza e ciò che c'è da fare.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6"/>
        <w:gridCol w:w="6632"/>
      </w:tblGrid>
      <w:tr>
        <w:trPr>
          <w:tblHeader/>
        </w:trPr>
        <w:tc>
          <w:tcPr>
            <w:tcW w:type="dxa" w:w="30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6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30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6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30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6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30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6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30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6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30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6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30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attive</w:t>
            </w:r>
          </w:p>
        </w:tc>
        <w:tc>
          <w:tcPr>
            <w:tcW w:type="dxa" w:w="66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pubbliche aperte</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consultazione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5"/>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Ogni Rapporto ha fasi, documenti e pagamenti propri, senza consultazione pubblica.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referente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9"/>
        <w:gridCol w:w="1537"/>
        <w:gridCol w:w="6252"/>
      </w:tblGrid>
      <w:tr>
        <w:trPr>
          <w:tblHeader/>
        </w:trPr>
        <w:tc>
          <w:tcPr>
            <w:tcW w:type="dxa" w:w="18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15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62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18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15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62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18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15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62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18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15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62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18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15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62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bl>
    <w:p>
      <w:pPr>
        <w:spacing w:after="160"/>
      </w:pP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68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2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68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Annulla, Chiudi pratica</w:t>
            </w:r>
          </w:p>
        </w:tc>
      </w:tr>
      <w:tr>
        <w:trPr>
          <w:cantSplit/>
        </w:trPr>
        <w:tc>
          <w:tcPr>
            <w:tcW w:type="dxa" w:w="2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68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w:t>
            </w:r>
          </w:p>
        </w:tc>
      </w:tr>
      <w:tr>
        <w:trPr>
          <w:cantSplit/>
        </w:trPr>
        <w:tc>
          <w:tcPr>
            <w:tcW w:type="dxa" w:w="2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68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w:t>
            </w:r>
          </w:p>
        </w:tc>
      </w:tr>
      <w:tr>
        <w:trPr>
          <w:cantSplit/>
        </w:trPr>
        <w:tc>
          <w:tcPr>
            <w:tcW w:type="dxa" w:w="2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68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6"/>
        </w:numPr>
        <w:spacing w:after="70" w:line="290"/>
      </w:pPr>
      <w:r>
        <w:rPr>
          <w:rFonts w:ascii="Arial" w:cs="Arial" w:eastAsia="Arial" w:hAnsi="Arial"/>
          <w:color w:val="1B2118"/>
          <w:sz w:val="21"/>
          <w:szCs w:val="21"/>
        </w:rPr>
        <w:t xml:space="preserve">Premete il pulsante desiderato.</w:t>
      </w:r>
    </w:p>
    <w:p>
      <w:pPr>
        <w:pStyle w:val="ListParagraph"/>
        <w:numPr>
          <w:ilvl w:val="0"/>
          <w:numId w:val="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o chiusa il Comune non può caricare documenti né rispondere alle integrazioni.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contratto, allegati, documentazione amministrativa).</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Contratto, Allegato al contratto, Documentazione amministrativa, Documento di progetto, Rapporto dell'Ente di Validazione, Integrazione, Altro.</w:t>
      </w:r>
    </w:p>
    <w:p>
      <w:pPr>
        <w:pStyle w:val="ListParagraph"/>
        <w:numPr>
          <w:ilvl w:val="0"/>
          <w:numId w:val="7"/>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la modifica è registrata nell'audit. Il Rapporto di RINA va caricato con tipologia </w:t>
      </w:r>
      <w:r>
        <w:rPr>
          <w:rFonts w:ascii="Arial" w:cs="Arial" w:eastAsia="Arial" w:hAnsi="Arial"/>
          <w:i/>
          <w:iCs/>
          <w:color w:val="1B2118"/>
          <w:sz w:val="21"/>
          <w:szCs w:val="21"/>
        </w:rPr>
        <w:t xml:space="preserve">Rapporto dell'Ente di Validazione</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8"/>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8"/>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8"/>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 Cruscotto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Consultazione pubblica</w:t>
      </w:r>
      <w:bookmarkEnd w:id="1"/>
    </w:p>
    <w:p>
      <w:pPr>
        <w:spacing w:after="140" w:line="300"/>
      </w:pPr>
      <w:r>
        <w:rPr>
          <w:rFonts w:ascii="Arial" w:cs="Arial" w:eastAsia="Arial" w:hAnsi="Arial"/>
          <w:color w:val="1B2118"/>
          <w:sz w:val="21"/>
          <w:szCs w:val="21"/>
        </w:rPr>
        <w:t xml:space="preserve">La consultazione pubblica riguarda solo i Progetti (fase 3) e dura 30 giorni.</w:t>
      </w:r>
    </w:p>
    <w:p>
      <w:pPr>
        <w:spacing w:after="140" w:line="300"/>
      </w:pPr>
      <w:r>
        <w:rPr>
          <w:rFonts w:ascii="Arial" w:cs="Arial" w:eastAsia="Arial" w:hAnsi="Arial"/>
          <w:b/>
          <w:bCs/>
          <w:color w:val="1B2118"/>
          <w:sz w:val="21"/>
          <w:szCs w:val="21"/>
        </w:rPr>
        <w:t xml:space="preserve">Aprire la consultazione</w:t>
      </w:r>
    </w:p>
    <w:p>
      <w:pPr>
        <w:pStyle w:val="ListParagraph"/>
        <w:numPr>
          <w:ilvl w:val="0"/>
          <w:numId w:val="9"/>
        </w:numPr>
        <w:spacing w:after="70" w:line="290"/>
      </w:pPr>
      <w:r>
        <w:rPr>
          <w:rFonts w:ascii="Arial" w:cs="Arial" w:eastAsia="Arial" w:hAnsi="Arial"/>
          <w:color w:val="1B2118"/>
          <w:sz w:val="21"/>
          <w:szCs w:val="21"/>
        </w:rPr>
        <w:t xml:space="preserve">Caricate prima il documento da sottoporre a consultazione (capitolo «Documenti e visibilità»).</w:t>
      </w:r>
    </w:p>
    <w:p>
      <w:pPr>
        <w:pStyle w:val="ListParagraph"/>
        <w:numPr>
          <w:ilvl w:val="0"/>
          <w:numId w:val="9"/>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Consultazione pubblica</w:t>
      </w:r>
      <w:r>
        <w:rPr>
          <w:rFonts w:ascii="Arial" w:cs="Arial" w:eastAsia="Arial" w:hAnsi="Arial"/>
          <w:color w:val="1B2118"/>
          <w:sz w:val="21"/>
          <w:szCs w:val="21"/>
        </w:rPr>
        <w:t xml:space="preserve"> scegliete il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consultazione</w:t>
      </w:r>
      <w:r>
        <w:rPr>
          <w:rFonts w:ascii="Arial" w:cs="Arial" w:eastAsia="Arial" w:hAnsi="Arial"/>
          <w:color w:val="1B2118"/>
          <w:sz w:val="21"/>
          <w:szCs w:val="21"/>
        </w:rPr>
        <w:t xml:space="preserve">. Il periodo va da oggi a 30 giorni dopo e il Comune riceve la notifica.</w:t>
      </w:r>
    </w:p>
    <w:p>
      <w:pPr>
        <w:spacing w:after="60"/>
      </w:pP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arriva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(notifica «Nuova osservazione da moderare»). L'autore compare sempre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e il Comune può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(motivazione «Non ammesso dal moderatore»)</w:t>
            </w:r>
          </w:p>
        </w:tc>
      </w:tr>
    </w:tbl>
    <w:p>
      <w:pPr>
        <w:spacing w:after="160"/>
      </w:pPr>
    </w:p>
    <w:p>
      <w:pPr>
        <w:spacing w:after="140" w:line="300"/>
      </w:pPr>
      <w:r>
        <w:rPr>
          <w:rFonts w:ascii="Arial" w:cs="Arial" w:eastAsia="Arial" w:hAnsi="Arial"/>
          <w:color w:val="1B2118"/>
          <w:sz w:val="21"/>
          <w:szCs w:val="21"/>
        </w:rPr>
        <w:t xml:space="preserve">Le risposte alle osservazioni le scrive il Comune; lo staff le vede sotto il testo («Risposta: …»).</w:t>
      </w:r>
    </w:p>
    <w:p>
      <w:pPr>
        <w:spacing w:after="140" w:line="300"/>
      </w:pPr>
      <w:r>
        <w:rPr>
          <w:rFonts w:ascii="Arial" w:cs="Arial" w:eastAsia="Arial" w:hAnsi="Arial"/>
          <w:b/>
          <w:bCs/>
          <w:color w:val="1B2118"/>
          <w:sz w:val="21"/>
          <w:szCs w:val="21"/>
        </w:rPr>
        <w:t xml:space="preserve">Chiudere la consultazione.</w:t>
      </w:r>
      <w:r>
        <w:rPr>
          <w:rFonts w:ascii="Arial" w:cs="Arial" w:eastAsia="Arial" w:hAnsi="Arial"/>
          <w:color w:val="1B2118"/>
          <w:sz w:val="21"/>
          <w:szCs w:val="21"/>
        </w:rPr>
        <w:t xml:space="preserve"> Dopo 30 giorni il portale non accetta più osservazioni, ma lo stato va chiuso a mano con </w:t>
      </w:r>
      <w:r>
        <w:rPr>
          <w:rFonts w:ascii="Arial" w:cs="Arial" w:eastAsia="Arial" w:hAnsi="Arial"/>
          <w:b/>
          <w:bCs/>
          <w:color w:val="1B2118"/>
          <w:sz w:val="21"/>
          <w:szCs w:val="21"/>
        </w:rPr>
        <w:t xml:space="preserve">Chiudi consultazione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Decisioni prese per i prossimi sviluppi</w:t>
      </w:r>
      <w:r>
        <w:rPr>
          <w:rFonts w:ascii="Arial" w:cs="Arial" w:eastAsia="Arial" w:hAnsi="Arial"/>
          <w:color w:val="1B2118"/>
          <w:sz w:val="21"/>
          <w:szCs w:val="21"/>
        </w:rPr>
        <w:t xml:space="preserve"> (18/10/2026): chi commenta dall'esterno dovrà confermare il proprio indirizzo email con un collegamento prima che l'osservazione venga ricevuta; in caso di errata corrige sarà l'Operatore a scegliere, caso per caso e con motivazione, se far ripartire i 30 giorni.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 incasso</w:t>
      </w:r>
    </w:p>
    <w:p>
      <w:pPr>
        <w:pStyle w:val="ListParagraph"/>
        <w:numPr>
          <w:ilvl w:val="0"/>
          <w:numId w:val="11"/>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1"/>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Il portale registra automaticamente chi ha inserito l'incasso, e l'operazione finisce nell'audit. Per decisione del 18/10/2026 le voci di pagamento saranno visibili anche al Comune, in sola lettura.</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5938"/>
      </w:tblGrid>
      <w:tr>
        <w:trPr>
          <w:tblHeader/>
        </w:trPr>
        <w:tc>
          <w:tcPr>
            <w:tcW w:type="dxa" w:w="37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59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7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5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7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5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delle fasi e dei documenti, con l'impronta SHA-256</w:t>
            </w:r>
          </w:p>
        </w:tc>
      </w:tr>
      <w:tr>
        <w:trPr>
          <w:cantSplit/>
        </w:trPr>
        <w:tc>
          <w:tcPr>
            <w:tcW w:type="dxa" w:w="37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5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7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consultazione.csv, consultazione_info.txt</w:t>
            </w:r>
          </w:p>
        </w:tc>
        <w:tc>
          <w:tcPr>
            <w:tcW w:type="dxa" w:w="5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c'è stata una consultazione</w:t>
            </w:r>
          </w:p>
        </w:tc>
      </w:tr>
      <w:tr>
        <w:trPr>
          <w:cantSplit/>
        </w:trPr>
        <w:tc>
          <w:tcPr>
            <w:tcW w:type="dxa" w:w="37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5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w:t>
            </w:r>
          </w:p>
        </w:tc>
      </w:tr>
      <w:tr>
        <w:trPr>
          <w:cantSplit/>
        </w:trPr>
        <w:tc>
          <w:tcPr>
            <w:tcW w:type="dxa" w:w="37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5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e audit.</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39"/>
        <w:gridCol w:w="5199"/>
      </w:tblGrid>
      <w:tr>
        <w:trPr>
          <w:tblHeader/>
        </w:trPr>
        <w:tc>
          <w:tcPr>
            <w:tcW w:type="dxa" w:w="44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51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4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51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4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51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4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da moderare</w:t>
            </w:r>
          </w:p>
        </w:tc>
        <w:tc>
          <w:tcPr>
            <w:tcW w:type="dxa" w:w="51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4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51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la consultazione pubblica</w:t>
            </w:r>
          </w:p>
        </w:tc>
      </w:tr>
      <w:tr>
        <w:trPr>
          <w:cantSplit/>
        </w:trPr>
        <w:tc>
          <w:tcPr>
            <w:tcW w:type="dxa" w:w="44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51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Creare un utente</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w:t>
      </w:r>
    </w:p>
    <w:p>
      <w:pPr>
        <w:pStyle w:val="ListParagraph"/>
        <w:numPr>
          <w:ilvl w:val="0"/>
          <w:numId w:val="12"/>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Comunicate all'utente email e password temporanea con un canale sicuro, separato dall'email di benvenuto.</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le associazioni alle organizzazioni si azzerano.</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3"/>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3"/>
        </w:numPr>
        <w:spacing w:after="70" w:line="290"/>
      </w:pPr>
      <w:r>
        <w:rPr>
          <w:rFonts w:ascii="Arial" w:cs="Arial" w:eastAsia="Arial" w:hAnsi="Arial"/>
          <w:color w:val="1B2118"/>
          <w:sz w:val="21"/>
          <w:szCs w:val="21"/>
        </w:rPr>
        <w:t xml:space="preserve">Comunicate la password temporanea all'utente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Dal portale non si creano né si nominano Amministratori: si fa da Supabase, per sicurezza. La password di un Amministratore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cambi di stato della pratica, caricamenti di documenti con la versione, modifiche di visibilità, apertura e chiusura della consultazione, moderazione delle osservazioni, richieste e chiusure di integrazione, incassi,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Impostazioni: durata delle fasi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fissa quanti giorni dura ogni fase. Quando un Operatore apre una fase, la scadenza è calcolata con questi valori.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1"/>
        <w:gridCol w:w="3096"/>
        <w:gridCol w:w="2451"/>
      </w:tblGrid>
      <w:tr>
        <w:trPr>
          <w:tblHeader/>
        </w:trPr>
        <w:tc>
          <w:tcPr>
            <w:tcW w:type="dxa" w:w="40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30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4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40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Consultazione pubblica</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r>
      <w:tr>
        <w:trPr>
          <w:cantSplit/>
        </w:trPr>
        <w:tc>
          <w:tcPr>
            <w:tcW w:type="dxa" w:w="40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3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r>
      <w:tr>
        <w:trPr>
          <w:cantSplit/>
        </w:trPr>
        <w:tc>
          <w:tcPr>
            <w:tcW w:type="dxa" w:w="40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14"/>
        </w:numPr>
        <w:spacing w:after="70" w:line="290"/>
      </w:pPr>
      <w:r>
        <w:rPr>
          <w:rFonts w:ascii="Arial" w:cs="Arial" w:eastAsia="Arial" w:hAnsi="Arial"/>
          <w:color w:val="1B2118"/>
          <w:sz w:val="21"/>
          <w:szCs w:val="21"/>
        </w:rPr>
        <w:t xml:space="preserve">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14"/>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dei crediti CWP</w:t>
      </w:r>
      <w:bookmarkEnd w:id="1"/>
    </w:p>
    <w:p>
      <w:pPr>
        <w:spacing w:after="140" w:line="300"/>
      </w:pPr>
      <w:r>
        <w:rPr>
          <w:rFonts w:ascii="Arial" w:cs="Arial" w:eastAsia="Arial" w:hAnsi="Arial"/>
          <w:color w:val="1B2118"/>
          <w:sz w:val="21"/>
          <w:szCs w:val="21"/>
        </w:rPr>
        <w:t xml:space="preserve">La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dal 30% in giù (Tabelle 15 e 16)</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77"/>
        <w:gridCol w:w="4861"/>
      </w:tblGrid>
      <w:tr>
        <w:trPr>
          <w:tblHeader/>
        </w:trPr>
        <w:tc>
          <w:tcPr>
            <w:tcW w:type="dxa" w:w="47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48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47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48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Impostazioni</w:t>
            </w:r>
          </w:p>
        </w:tc>
      </w:tr>
      <w:tr>
        <w:trPr>
          <w:cantSplit/>
        </w:trPr>
        <w:tc>
          <w:tcPr>
            <w:tcW w:type="dxa" w:w="47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48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47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48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47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48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47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48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dopo l'aggregazione</w:t>
            </w:r>
          </w:p>
        </w:tc>
      </w:tr>
      <w:tr>
        <w:trPr>
          <w:cantSplit/>
        </w:trPr>
        <w:tc>
          <w:tcPr>
            <w:tcW w:type="dxa" w:w="47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48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o numeri di contratto. Se il file del Comune contiene dati personali, non va caricato nel calcolo: chiedete al Comune di sostituirli con codici.</w:t>
      </w:r>
    </w:p>
    <w:p>
      <w:pPr>
        <w:spacing w:after="140" w:line="300"/>
      </w:pPr>
      <w:r>
        <w:rPr>
          <w:rFonts w:ascii="Arial" w:cs="Arial" w:eastAsia="Arial" w:hAnsi="Arial"/>
          <w:color w:val="1B2118"/>
          <w:sz w:val="21"/>
          <w:szCs w:val="21"/>
        </w:rPr>
        <w:t xml:space="preserve">Oggi ogni tabella si importa in </w:t>
      </w: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dal file Excel del Comune si salva il foglio come «CSV UTF-8» e lo si importa nel passo corrispondente. Ogni tabella ha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che mostra le intestazioni attese. L'import diretto del file Excel e l'aggregazione automatica delle singole letture sono in sviluppo (capitolo «Funzioni in arrivo»).</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15"/>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parte dal 30% e si riduce in base a come il Comune misura i conferimenti: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w:t>
      </w:r>
    </w:p>
    <w:p>
      <w:pPr>
        <w:pStyle w:val="ListParagraph"/>
        <w:numPr>
          <w:ilvl w:val="0"/>
          <w:numId w:val="16"/>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6"/>
        <w:gridCol w:w="2010"/>
        <w:gridCol w:w="5492"/>
      </w:tblGrid>
      <w:tr>
        <w:trPr>
          <w:tblHeader/>
        </w:trPr>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manuali e il registro vengono aggiornati insieme.</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note di fase, anagrafica degli Enti di Validazione, modelli di documento scaricabili dai Comuni, messaggi tra Comune e Fondazione nella pratica, pagamenti visibili al Comune in sola lettura.</w:t>
      </w:r>
    </w:p>
    <w:p>
      <w:pPr>
        <w:pStyle w:val="ListParagraph"/>
        <w:numPr>
          <w:ilvl w:val="0"/>
          <w:numId w:val="2"/>
        </w:numPr>
        <w:spacing w:after="70" w:line="290"/>
      </w:pPr>
      <w:r>
        <w:rPr>
          <w:rFonts w:ascii="Arial" w:cs="Arial" w:eastAsia="Arial" w:hAnsi="Arial"/>
          <w:b/>
          <w:bCs/>
          <w:color w:val="1B2118"/>
          <w:sz w:val="21"/>
          <w:szCs w:val="21"/>
        </w:rPr>
        <w:t xml:space="preserve">Consultazione pubblica:</w:t>
      </w:r>
      <w:r>
        <w:rPr>
          <w:rFonts w:ascii="Arial" w:cs="Arial" w:eastAsia="Arial" w:hAnsi="Arial"/>
          <w:color w:val="1B2118"/>
          <w:sz w:val="21"/>
          <w:szCs w:val="21"/>
        </w:rPr>
        <w:t xml:space="preserve"> pagina pubblica con conferma dell'email di chi commenta, errata corrige con eventuale ripartenza dei 30 giorni, allegati alle osservazioni.</w:t>
      </w:r>
    </w:p>
    <w:p>
      <w:pPr>
        <w:pStyle w:val="ListParagraph"/>
        <w:numPr>
          <w:ilvl w:val="0"/>
          <w:numId w:val="2"/>
        </w:numPr>
        <w:spacing w:after="70" w:line="290"/>
      </w:pP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import diretto del tracciato dati Excel/ZIP caricato dal Comune, riassunto automatico delle singole letture, controllo dei dati personali, controlli di coerenza, rapporto di calcolo in PDF, registro dei crediti.</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spacing w:after="140" w:line="300"/>
      </w:pPr>
      <w:r>
        <w:rPr>
          <w:rFonts w:ascii="Arial" w:cs="Arial" w:eastAsia="Arial" w:hAnsi="Arial"/>
          <w:color w:val="1B2118"/>
          <w:sz w:val="21"/>
          <w:szCs w:val="21"/>
        </w:rPr>
        <w:t xml:space="preserve">In valutazione: un </w:t>
      </w:r>
      <w:r>
        <w:rPr>
          <w:rFonts w:ascii="Arial" w:cs="Arial" w:eastAsia="Arial" w:hAnsi="Arial"/>
          <w:b/>
          <w:bCs/>
          <w:color w:val="1B2118"/>
          <w:sz w:val="21"/>
          <w:szCs w:val="21"/>
        </w:rPr>
        <w:t xml:space="preserve">assistente AI (Claude) integrato nel portale</w:t>
      </w:r>
      <w:r>
        <w:rPr>
          <w:rFonts w:ascii="Arial" w:cs="Arial" w:eastAsia="Arial" w:hAnsi="Arial"/>
          <w:color w:val="1B2118"/>
          <w:sz w:val="21"/>
          <w:szCs w:val="21"/>
        </w:rPr>
        <w:t xml:space="preserve">, per aiutare i Comuni nella compilazione e gli Operatori nei controlli.</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1.0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1.0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6m6gwmxzyktur9i-yboec"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1.0)</dc:title>
  <dc:creator>Fondazione Operate</dc:creator>
  <cp:lastModifiedBy>Un-named</cp:lastModifiedBy>
  <cp:revision>1</cp:revision>
  <dcterms:created xsi:type="dcterms:W3CDTF">2026-10-18T12:26:45.385Z</dcterms:created>
  <dcterms:modified xsi:type="dcterms:W3CDTF">2026-10-18T12:26:45.385Z</dcterms:modified>
</cp:coreProperties>
</file>

<file path=docProps/custom.xml><?xml version="1.0" encoding="utf-8"?>
<Properties xmlns="http://schemas.openxmlformats.org/officeDocument/2006/custom-properties" xmlns:vt="http://schemas.openxmlformats.org/officeDocument/2006/docPropsVTypes"/>
</file>