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1.2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9</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11</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14</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15</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16</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17</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18</w:t>
        </w:r>
      </w:hyperlink>
    </w:p>
    <w:p>
      <w:pPr>
        <w:tabs>
          <w:tab w:val="right" w:pos="9638" w:leader="dot"/>
        </w:tabs>
        <w:spacing w:after="130"/>
      </w:pPr>
      <w:hyperlink w:history="1" w:anchor="cap15">
        <w:r>
          <w:rPr>
            <w:rFonts w:ascii="Arial" w:cs="Arial" w:eastAsia="Arial" w:hAnsi="Arial"/>
            <w:color w:val="1B2118"/>
            <w:sz w:val="22"/>
            <w:szCs w:val="22"/>
          </w:rPr>
          <w:t xml:space="preserve">15.  Impostazioni: fasi, Enti di Validazione e modelli</w:t>
        </w:r>
        <w:r>
          <w:rPr>
            <w:rFonts w:ascii="Arial" w:cs="Arial" w:eastAsia="Arial" w:hAnsi="Arial"/>
            <w:color w:val="1B2118"/>
            <w:sz w:val="22"/>
            <w:szCs w:val="22"/>
          </w:rPr>
          <w:tab/>
          <w:t xml:space="preserve">19</w:t>
        </w:r>
      </w:hyperlink>
    </w:p>
    <w:p>
      <w:pPr>
        <w:tabs>
          <w:tab w:val="right" w:pos="9638" w:leader="dot"/>
        </w:tabs>
        <w:spacing w:after="130"/>
      </w:pPr>
      <w:hyperlink w:history="1" w:anchor="cap16">
        <w:r>
          <w:rPr>
            <w:rFonts w:ascii="Arial" w:cs="Arial" w:eastAsia="Arial" w:hAnsi="Arial"/>
            <w:color w:val="1B2118"/>
            <w:sz w:val="22"/>
            <w:szCs w:val="22"/>
          </w:rPr>
          <w:t xml:space="preserve">16.  Calcolo dei crediti CWP</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Documentazione e manuali</w:t>
        </w:r>
        <w:r>
          <w:rPr>
            <w:rFonts w:ascii="Arial" w:cs="Arial" w:eastAsia="Arial" w:hAnsi="Arial"/>
            <w:color w:val="1B2118"/>
            <w:sz w:val="22"/>
            <w:szCs w:val="22"/>
          </w:rPr>
          <w:tab/>
          <w:t xml:space="preserve">26</w:t>
        </w:r>
      </w:hyperlink>
    </w:p>
    <w:p>
      <w:pPr>
        <w:tabs>
          <w:tab w:val="right" w:pos="9638" w:leader="dot"/>
        </w:tabs>
        <w:spacing w:after="130"/>
      </w:pPr>
      <w:hyperlink w:history="1" w:anchor="cap18">
        <w:r>
          <w:rPr>
            <w:rFonts w:ascii="Arial" w:cs="Arial" w:eastAsia="Arial" w:hAnsi="Arial"/>
            <w:color w:val="1B2118"/>
            <w:sz w:val="22"/>
            <w:szCs w:val="22"/>
          </w:rPr>
          <w:t xml:space="preserve">18.  Manutenzione ed emergenze</w:t>
        </w:r>
        <w:r>
          <w:rPr>
            <w:rFonts w:ascii="Arial" w:cs="Arial" w:eastAsia="Arial" w:hAnsi="Arial"/>
            <w:color w:val="1B2118"/>
            <w:sz w:val="22"/>
            <w:szCs w:val="22"/>
          </w:rPr>
          <w:tab/>
          <w:t xml:space="preserve">27</w:t>
        </w:r>
      </w:hyperlink>
    </w:p>
    <w:p>
      <w:pPr>
        <w:tabs>
          <w:tab w:val="right" w:pos="9638" w:leader="dot"/>
        </w:tabs>
        <w:spacing w:after="130"/>
      </w:pPr>
      <w:hyperlink w:history="1" w:anchor="cap19">
        <w:r>
          <w:rPr>
            <w:rFonts w:ascii="Arial" w:cs="Arial" w:eastAsia="Arial" w:hAnsi="Arial"/>
            <w:color w:val="1B2118"/>
            <w:sz w:val="22"/>
            <w:szCs w:val="22"/>
          </w:rPr>
          <w:t xml:space="preserve">19.  Funzioni in arrivo</w:t>
        </w:r>
        <w:r>
          <w:rPr>
            <w:rFonts w:ascii="Arial" w:cs="Arial" w:eastAsia="Arial" w:hAnsi="Arial"/>
            <w:color w:val="1B2118"/>
            <w:sz w:val="22"/>
            <w:szCs w:val="22"/>
          </w:rPr>
          <w:tab/>
          <w:t xml:space="preserve">28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2"/>
        <w:gridCol w:w="2576"/>
        <w:gridCol w:w="2010"/>
      </w:tblGrid>
      <w:tr>
        <w:trPr>
          <w:tblHeader/>
        </w:trPr>
        <w:tc>
          <w:tcPr>
            <w:tcW w:type="dxa" w:w="5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Enti di Validazione, modelli)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ik75e8td5h5rzeol2kvae">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Ogni Rapporto ha fasi, documenti e pagamenti propri, senza consultazione pubblica.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in Impostazioni (capitolo «Impostazioni»).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Lo staff vede di ogni osservazione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può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(motivazione «Non ammesso dal moderatore»)</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rPr>
          <w:tblHeader/>
        </w:trPr>
        <w:tc>
          <w:tcPr>
            <w:tcW w:type="dxa" w:w="37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5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delle fasi e dei documenti, con l'impronta SHA-256</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consultazione.csv, consultazione_info.txt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c'è stata una consultazione</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e audit.</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Impostazioni: fasi, Enti di Validazione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ha tre sezioni: durata delle fasi, Enti di Validazione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La sezione fissa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15"/>
        </w:numPr>
        <w:spacing w:after="70" w:line="290"/>
      </w:pPr>
      <w:r>
        <w:rPr>
          <w:rFonts w:ascii="Arial" w:cs="Arial" w:eastAsia="Arial" w:hAnsi="Arial"/>
          <w:color w:val="1B2118"/>
          <w:sz w:val="21"/>
          <w:szCs w:val="21"/>
        </w:rPr>
        <w:t xml:space="preserve">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(il modello comparirà dentro quella fase in ogni pratica,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18"/>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19"/>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2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rapporto di calcolo in PDF, registro dei crediti calcolati e confermati.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1.2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1.2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ik75e8td5h5rzeol2kvae"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1.2)</dc:title>
  <dc:creator>Fondazione Operate</dc:creator>
  <cp:lastModifiedBy>Un-named</cp:lastModifiedBy>
  <cp:revision>1</cp:revision>
  <dcterms:created xsi:type="dcterms:W3CDTF">2026-10-18T12:59:47.262Z</dcterms:created>
  <dcterms:modified xsi:type="dcterms:W3CDTF">2026-10-18T12:59:47.262Z</dcterms:modified>
</cp:coreProperties>
</file>

<file path=docProps/custom.xml><?xml version="1.0" encoding="utf-8"?>
<Properties xmlns="http://schemas.openxmlformats.org/officeDocument/2006/custom-properties" xmlns:vt="http://schemas.openxmlformats.org/officeDocument/2006/docPropsVTypes"/>
</file>