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5.7</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23/10/2026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valore dei crediti in simulazione e in fase esecutiva; Impostazioni: prezzo di riferimento del credito.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5a: «Calcola» usa le utenze (categoria di simulazione come classe della delibera, kg misurati, frazioni per utenza); utenze senza categoria o fuori delibera escluse e conferma bloccata; fonte nei Risultati, nel CSV e nel PDF.</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delle utenze; calcolo di prova.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delle utenze nel passo 5a del calcolo: caricamento, schede, modulo; categorie tariffaria e di simulazione.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campi, regole, dati personali.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dal telefono: menu a pannello, schede in Dashboard e Audit, elenco e dettaglio delle pratiche.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N01-N06: costi una tantum in 10 rate, feedback pubblico e fase 3, ente prima della fase 5, riquadro «Fase aperta senza scadenza», avviso sui codici, frazioni del fattore dell'indifferenziato.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diventa «Notizie CO2»; Google News attraverso il tramite; barra a LED nell'elenco e nella pratica. Pallino verde delle Notizie CO2 nuove. Notizie CO2: siti di notizie ambientali al posto di Google News. Notizie CO2: siti di notizie ambientali al posto di Google News.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«News»: osservatorio sui crediti di carbonio volontari. Canali Bing News e Verra.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il PDF scaricato riporta tutti i dati della pagina, i costi e i grafici; foglio Excel «Dati inseriti».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per gli Operatori e domande sulla pratica aperta; menu dell'Operatore con il Simulatore.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«Backup automatico».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tra quelli scaricabili.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V05: testo completo dei valori lunghi nell'Audit (Prima/Dopo, Tolto/Aggiunto), denominazione delle organizzazioni e ricerca sui valori cambiati; pagina «Account disattivato».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import CSV della Banca Dati «tutto o niente» senza valori negativi, calcolo bloccato con dati non ammessi, buffer manuale 0-80%, conferma definitiva solo senza errori di coerenza, dati non ammessi nel simulatore e zero esplicito nei prezzi, colonna «Oggetto e modifiche» nell'Audit.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«Sicurezza»: inattività, avvisi, protezioni del sito e del database.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menu degli enti aggiornate.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ordine del menu; la sezione si chiama «Audit User». Voce «Marketplaces»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«Audit trail user».</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PDF ed Excel del simulatore; messaggi d'errore dell'assistente.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messaggio «Un attimo…» durante l'attesa.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attivo: chiave legata a uno spazio di lavoro, crediti e consumi.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documenti ufficiali del Programma nella Documentazione.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nella pagina Documentazione.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tutte le tabelle e degli elenchi.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metodo di stima per utenza (solo utenze virtuose), buffer del Capitolo 7, taratura.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diventa Dashboard; barra a LED delle 7 fasi per ogni pratica.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Eliminazione degli utenti che non hanno mai operato (script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automatica con le credenziali al nuovo utente e alla reimpostazione della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con accesso completo; Amministratore principale protetto (script 29).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per il Comune secondo il Caso 1 (progetto volontario) o il Caso 2 (progetto obbligatorio da bando).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proposto 32 €.</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valore unitario del credito e costi per il Comune (contratti tipo della Fondazione, Schema tariffario).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riferimento sempre alla soglia del 65% di differenziata e controllo dei valori fuori scala.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conforme al modello CWP: scenario di riferimento dello Standard 4.8.1, situazione attuale, conformità.</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«Simulatore di scenari»: creazione, anno base, obiettivi annui, risultati, modello di stima.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5.7 del 23/10/2026.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8</w:t>
        </w:r>
      </w:hyperlink>
    </w:p>
    <w:p>
      <w:pPr>
        <w:tabs>
          <w:tab w:val="right" w:pos="9638" w:leader="dot"/>
        </w:tabs>
        <w:spacing w:after="130"/>
      </w:pPr>
      <w:hyperlink w:history="1" w:anchor="cap3">
        <w:r>
          <w:rPr>
            <w:rFonts w:ascii="Arial" w:cs="Arial" w:eastAsia="Arial" w:hAnsi="Arial"/>
            <w:color w:val="1B2118"/>
            <w:sz w:val="22"/>
            <w:szCs w:val="22"/>
          </w:rPr>
          <w:t xml:space="preserve">3.  Dashboard</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11</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13</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16</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17</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18</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20</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21</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23</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24</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25</w:t>
        </w:r>
      </w:hyperlink>
    </w:p>
    <w:p>
      <w:pPr>
        <w:tabs>
          <w:tab w:val="right" w:pos="9638" w:leader="dot"/>
        </w:tabs>
        <w:spacing w:after="130"/>
      </w:pPr>
      <w:hyperlink w:history="1" w:anchor="cap14">
        <w:r>
          <w:rPr>
            <w:rFonts w:ascii="Arial" w:cs="Arial" w:eastAsia="Arial" w:hAnsi="Arial"/>
            <w:color w:val="1B2118"/>
            <w:sz w:val="22"/>
            <w:szCs w:val="22"/>
          </w:rPr>
          <w:t xml:space="preserve">14.  Audit User (solo Amministratore principale)</w:t>
        </w:r>
        <w:r>
          <w:rPr>
            <w:rFonts w:ascii="Arial" w:cs="Arial" w:eastAsia="Arial" w:hAnsi="Arial"/>
            <w:color w:val="1B2118"/>
            <w:sz w:val="22"/>
            <w:szCs w:val="22"/>
          </w:rPr>
          <w:tab/>
          <w:t xml:space="preserve">28</w:t>
        </w:r>
      </w:hyperlink>
    </w:p>
    <w:p>
      <w:pPr>
        <w:tabs>
          <w:tab w:val="right" w:pos="9638" w:leader="dot"/>
        </w:tabs>
        <w:spacing w:after="130"/>
      </w:pPr>
      <w:hyperlink w:history="1" w:anchor="cap15">
        <w:r>
          <w:rPr>
            <w:rFonts w:ascii="Arial" w:cs="Arial" w:eastAsia="Arial" w:hAnsi="Arial"/>
            <w:color w:val="1B2118"/>
            <w:sz w:val="22"/>
            <w:szCs w:val="22"/>
          </w:rPr>
          <w:t xml:space="preserve">15.  Audit trail</w:t>
        </w:r>
        <w:r>
          <w:rPr>
            <w:rFonts w:ascii="Arial" w:cs="Arial" w:eastAsia="Arial" w:hAnsi="Arial"/>
            <w:color w:val="1B2118"/>
            <w:sz w:val="22"/>
            <w:szCs w:val="22"/>
          </w:rPr>
          <w:tab/>
          <w:t xml:space="preserve">29</w:t>
        </w:r>
      </w:hyperlink>
    </w:p>
    <w:p>
      <w:pPr>
        <w:tabs>
          <w:tab w:val="right" w:pos="9638" w:leader="dot"/>
        </w:tabs>
        <w:spacing w:after="130"/>
      </w:pPr>
      <w:hyperlink w:history="1" w:anchor="cap16">
        <w:r>
          <w:rPr>
            <w:rFonts w:ascii="Arial" w:cs="Arial" w:eastAsia="Arial" w:hAnsi="Arial"/>
            <w:color w:val="1B2118"/>
            <w:sz w:val="22"/>
            <w:szCs w:val="22"/>
          </w:rPr>
          <w:t xml:space="preserve">16.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7">
        <w:r>
          <w:rPr>
            <w:rFonts w:ascii="Arial" w:cs="Arial" w:eastAsia="Arial" w:hAnsi="Arial"/>
            <w:color w:val="1B2118"/>
            <w:sz w:val="22"/>
            <w:szCs w:val="22"/>
          </w:rPr>
          <w:t xml:space="preserve">17.  Impostazioni</w:t>
        </w:r>
        <w:r>
          <w:rPr>
            <w:rFonts w:ascii="Arial" w:cs="Arial" w:eastAsia="Arial" w:hAnsi="Arial"/>
            <w:color w:val="1B2118"/>
            <w:sz w:val="22"/>
            <w:szCs w:val="22"/>
          </w:rPr>
          <w:tab/>
          <w:t xml:space="preserve">32</w:t>
        </w:r>
      </w:hyperlink>
    </w:p>
    <w:p>
      <w:pPr>
        <w:tabs>
          <w:tab w:val="right" w:pos="9638" w:leader="dot"/>
        </w:tabs>
        <w:spacing w:after="130"/>
      </w:pPr>
      <w:hyperlink w:history="1" w:anchor="cap18">
        <w:r>
          <w:rPr>
            <w:rFonts w:ascii="Arial" w:cs="Arial" w:eastAsia="Arial" w:hAnsi="Arial"/>
            <w:color w:val="1B2118"/>
            <w:sz w:val="22"/>
            <w:szCs w:val="22"/>
          </w:rPr>
          <w:t xml:space="preserve">18.  Calcolo dei crediti CWP</w:t>
        </w:r>
        <w:r>
          <w:rPr>
            <w:rFonts w:ascii="Arial" w:cs="Arial" w:eastAsia="Arial" w:hAnsi="Arial"/>
            <w:color w:val="1B2118"/>
            <w:sz w:val="22"/>
            <w:szCs w:val="22"/>
          </w:rPr>
          <w:tab/>
          <w:t xml:space="preserve">35</w:t>
        </w:r>
      </w:hyperlink>
    </w:p>
    <w:p>
      <w:pPr>
        <w:tabs>
          <w:tab w:val="right" w:pos="9638" w:leader="dot"/>
        </w:tabs>
        <w:spacing w:after="130"/>
      </w:pPr>
      <w:hyperlink w:history="1" w:anchor="cap19">
        <w:r>
          <w:rPr>
            <w:rFonts w:ascii="Arial" w:cs="Arial" w:eastAsia="Arial" w:hAnsi="Arial"/>
            <w:color w:val="1B2118"/>
            <w:sz w:val="22"/>
            <w:szCs w:val="22"/>
          </w:rPr>
          <w:t xml:space="preserve">19.  Simulatore di scenari</w:t>
        </w:r>
        <w:r>
          <w:rPr>
            <w:rFonts w:ascii="Arial" w:cs="Arial" w:eastAsia="Arial" w:hAnsi="Arial"/>
            <w:color w:val="1B2118"/>
            <w:sz w:val="22"/>
            <w:szCs w:val="22"/>
          </w:rPr>
          <w:tab/>
          <w:t xml:space="preserve">44</w:t>
        </w:r>
      </w:hyperlink>
    </w:p>
    <w:p>
      <w:pPr>
        <w:tabs>
          <w:tab w:val="right" w:pos="9638" w:leader="dot"/>
        </w:tabs>
        <w:spacing w:after="130"/>
      </w:pPr>
      <w:hyperlink w:history="1" w:anchor="cap20">
        <w:r>
          <w:rPr>
            <w:rFonts w:ascii="Arial" w:cs="Arial" w:eastAsia="Arial" w:hAnsi="Arial"/>
            <w:color w:val="1B2118"/>
            <w:sz w:val="22"/>
            <w:szCs w:val="22"/>
          </w:rPr>
          <w:t xml:space="preserve">20.  Crediti emessi</w:t>
        </w:r>
        <w:r>
          <w:rPr>
            <w:rFonts w:ascii="Arial" w:cs="Arial" w:eastAsia="Arial" w:hAnsi="Arial"/>
            <w:color w:val="1B2118"/>
            <w:sz w:val="22"/>
            <w:szCs w:val="22"/>
          </w:rPr>
          <w:tab/>
          <w:t xml:space="preserve">48</w:t>
        </w:r>
      </w:hyperlink>
    </w:p>
    <w:p>
      <w:pPr>
        <w:tabs>
          <w:tab w:val="right" w:pos="9638" w:leader="dot"/>
        </w:tabs>
        <w:spacing w:after="130"/>
      </w:pPr>
      <w:hyperlink w:history="1" w:anchor="cap21">
        <w:r>
          <w:rPr>
            <w:rFonts w:ascii="Arial" w:cs="Arial" w:eastAsia="Arial" w:hAnsi="Arial"/>
            <w:color w:val="1B2118"/>
            <w:sz w:val="22"/>
            <w:szCs w:val="22"/>
          </w:rPr>
          <w:t xml:space="preserve">21.  Reclami e richieste di chiarimento</w:t>
        </w:r>
        <w:r>
          <w:rPr>
            <w:rFonts w:ascii="Arial" w:cs="Arial" w:eastAsia="Arial" w:hAnsi="Arial"/>
            <w:color w:val="1B2118"/>
            <w:sz w:val="22"/>
            <w:szCs w:val="22"/>
          </w:rPr>
          <w:tab/>
          <w:t xml:space="preserve">50</w:t>
        </w:r>
      </w:hyperlink>
    </w:p>
    <w:p>
      <w:pPr>
        <w:tabs>
          <w:tab w:val="right" w:pos="9638" w:leader="dot"/>
        </w:tabs>
        <w:spacing w:after="130"/>
      </w:pPr>
      <w:hyperlink w:history="1" w:anchor="cap22">
        <w:r>
          <w:rPr>
            <w:rFonts w:ascii="Arial" w:cs="Arial" w:eastAsia="Arial" w:hAnsi="Arial"/>
            <w:color w:val="1B2118"/>
            <w:sz w:val="22"/>
            <w:szCs w:val="22"/>
          </w:rPr>
          <w:t xml:space="preserve">22.  Pagina pubblica del Programma</w:t>
        </w:r>
        <w:r>
          <w:rPr>
            <w:rFonts w:ascii="Arial" w:cs="Arial" w:eastAsia="Arial" w:hAnsi="Arial"/>
            <w:color w:val="1B2118"/>
            <w:sz w:val="22"/>
            <w:szCs w:val="22"/>
          </w:rPr>
          <w:tab/>
          <w:t xml:space="preserve">51</w:t>
        </w:r>
      </w:hyperlink>
    </w:p>
    <w:p>
      <w:pPr>
        <w:tabs>
          <w:tab w:val="right" w:pos="9638" w:leader="dot"/>
        </w:tabs>
        <w:spacing w:after="130"/>
      </w:pPr>
      <w:hyperlink w:history="1" w:anchor="cap23">
        <w:r>
          <w:rPr>
            <w:rFonts w:ascii="Arial" w:cs="Arial" w:eastAsia="Arial" w:hAnsi="Arial"/>
            <w:color w:val="1B2118"/>
            <w:sz w:val="22"/>
            <w:szCs w:val="22"/>
          </w:rPr>
          <w:t xml:space="preserve">23.  Backup automatico</w:t>
        </w:r>
        <w:r>
          <w:rPr>
            <w:rFonts w:ascii="Arial" w:cs="Arial" w:eastAsia="Arial" w:hAnsi="Arial"/>
            <w:color w:val="1B2118"/>
            <w:sz w:val="22"/>
            <w:szCs w:val="22"/>
          </w:rPr>
          <w:tab/>
          <w:t xml:space="preserve">52</w:t>
        </w:r>
      </w:hyperlink>
    </w:p>
    <w:p>
      <w:pPr>
        <w:tabs>
          <w:tab w:val="right" w:pos="9638" w:leader="dot"/>
        </w:tabs>
        <w:spacing w:after="130"/>
      </w:pPr>
      <w:hyperlink w:history="1" w:anchor="cap24">
        <w:r>
          <w:rPr>
            <w:rFonts w:ascii="Arial" w:cs="Arial" w:eastAsia="Arial" w:hAnsi="Arial"/>
            <w:color w:val="1B2118"/>
            <w:sz w:val="22"/>
            <w:szCs w:val="22"/>
          </w:rPr>
          <w:t xml:space="preserve">24.  Documentazione e manuali</w:t>
        </w:r>
        <w:r>
          <w:rPr>
            <w:rFonts w:ascii="Arial" w:cs="Arial" w:eastAsia="Arial" w:hAnsi="Arial"/>
            <w:color w:val="1B2118"/>
            <w:sz w:val="22"/>
            <w:szCs w:val="22"/>
          </w:rPr>
          <w:tab/>
          <w:t xml:space="preserve">53</w:t>
        </w:r>
      </w:hyperlink>
    </w:p>
    <w:p>
      <w:pPr>
        <w:tabs>
          <w:tab w:val="right" w:pos="9638" w:leader="dot"/>
        </w:tabs>
        <w:spacing w:after="130"/>
      </w:pPr>
      <w:hyperlink w:history="1" w:anchor="cap25">
        <w:r>
          <w:rPr>
            <w:rFonts w:ascii="Arial" w:cs="Arial" w:eastAsia="Arial" w:hAnsi="Arial"/>
            <w:color w:val="1B2118"/>
            <w:sz w:val="22"/>
            <w:szCs w:val="22"/>
          </w:rPr>
          <w:t xml:space="preserve">25.  Notizie CO2: osservatorio sui crediti di carbonio volontari</w:t>
        </w:r>
        <w:r>
          <w:rPr>
            <w:rFonts w:ascii="Arial" w:cs="Arial" w:eastAsia="Arial" w:hAnsi="Arial"/>
            <w:color w:val="1B2118"/>
            <w:sz w:val="22"/>
            <w:szCs w:val="22"/>
          </w:rPr>
          <w:tab/>
          <w:t xml:space="preserve"/>
        </w:r>
      </w:hyperlink>
    </w:p>
    <w:p>
      <w:pPr>
        <w:tabs>
          <w:tab w:val="right" w:pos="9638" w:leader="dot"/>
        </w:tabs>
        <w:spacing w:after="130"/>
      </w:pPr>
      <w:hyperlink w:history="1" w:anchor="cap26">
        <w:r>
          <w:rPr>
            <w:rFonts w:ascii="Arial" w:cs="Arial" w:eastAsia="Arial" w:hAnsi="Arial"/>
            <w:color w:val="1B2118"/>
            <w:sz w:val="22"/>
            <w:szCs w:val="22"/>
          </w:rPr>
          <w:t xml:space="preserve">26.  Assistente virtuale</w:t>
        </w:r>
        <w:r>
          <w:rPr>
            <w:rFonts w:ascii="Arial" w:cs="Arial" w:eastAsia="Arial" w:hAnsi="Arial"/>
            <w:color w:val="1B2118"/>
            <w:sz w:val="22"/>
            <w:szCs w:val="22"/>
          </w:rPr>
          <w:tab/>
          <w:t xml:space="preserve">56</w:t>
        </w:r>
      </w:hyperlink>
    </w:p>
    <w:p>
      <w:pPr>
        <w:tabs>
          <w:tab w:val="right" w:pos="9638" w:leader="dot"/>
        </w:tabs>
        <w:spacing w:after="130"/>
      </w:pPr>
      <w:hyperlink w:history="1" w:anchor="cap27">
        <w:r>
          <w:rPr>
            <w:rFonts w:ascii="Arial" w:cs="Arial" w:eastAsia="Arial" w:hAnsi="Arial"/>
            <w:color w:val="1B2118"/>
            <w:sz w:val="22"/>
            <w:szCs w:val="22"/>
          </w:rPr>
          <w:t xml:space="preserve">27.  Sicurezza</w:t>
        </w:r>
        <w:r>
          <w:rPr>
            <w:rFonts w:ascii="Arial" w:cs="Arial" w:eastAsia="Arial" w:hAnsi="Arial"/>
            <w:color w:val="1B2118"/>
            <w:sz w:val="22"/>
            <w:szCs w:val="22"/>
          </w:rPr>
          <w:tab/>
          <w:t xml:space="preserve">58</w:t>
        </w:r>
      </w:hyperlink>
    </w:p>
    <w:p>
      <w:pPr>
        <w:tabs>
          <w:tab w:val="right" w:pos="9638" w:leader="dot"/>
        </w:tabs>
        <w:spacing w:after="130"/>
      </w:pPr>
      <w:hyperlink w:history="1" w:anchor="cap28">
        <w:r>
          <w:rPr>
            <w:rFonts w:ascii="Arial" w:cs="Arial" w:eastAsia="Arial" w:hAnsi="Arial"/>
            <w:color w:val="1B2118"/>
            <w:sz w:val="22"/>
            <w:szCs w:val="22"/>
          </w:rPr>
          <w:t xml:space="preserve">28.  Manutenzione ed emergenze</w:t>
        </w:r>
        <w:r>
          <w:rPr>
            <w:rFonts w:ascii="Arial" w:cs="Arial" w:eastAsia="Arial" w:hAnsi="Arial"/>
            <w:color w:val="1B2118"/>
            <w:sz w:val="22"/>
            <w:szCs w:val="22"/>
          </w:rPr>
          <w:tab/>
          <w:t xml:space="preserve">59</w:t>
        </w:r>
      </w:hyperlink>
    </w:p>
    <w:p>
      <w:pPr>
        <w:tabs>
          <w:tab w:val="right" w:pos="9638" w:leader="dot"/>
        </w:tabs>
        <w:spacing w:after="130"/>
      </w:pPr>
      <w:hyperlink w:history="1" w:anchor="cap29">
        <w:r>
          <w:rPr>
            <w:rFonts w:ascii="Arial" w:cs="Arial" w:eastAsia="Arial" w:hAnsi="Arial"/>
            <w:color w:val="1B2118"/>
            <w:sz w:val="22"/>
            <w:szCs w:val="22"/>
          </w:rPr>
          <w:t xml:space="preserve">29.  Funzioni in arrivo</w:t>
        </w:r>
        <w:r>
          <w:rPr>
            <w:rFonts w:ascii="Arial" w:cs="Arial" w:eastAsia="Arial" w:hAnsi="Arial"/>
            <w:color w:val="1B2118"/>
            <w:sz w:val="22"/>
            <w:szCs w:val="22"/>
          </w:rPr>
          <w:tab/>
          <w:t xml:space="preserve">60</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(Registro e questo manuale)</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Notizie CO2: osservatorio sui crediti di carbonio volontari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possono essere più di uno e hanno tutti accesso completo a tutti i dati. Un Amministratore può nominare altri Amministratori (capitolo «Gestione utenti»). L'</w:t>
      </w: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è luca.moretti@operate.it: nessuno lo può modificare, disattivare o cancellare.</w:t>
      </w: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kh4opyjvb9aeaocyoposq">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Audit User (solo l'Amministratore principale), Documentazione, Notizie CO2; </w:t>
            </w:r>
            <w:r>
              <w:rPr>
                <w:rFonts w:ascii="Arial" w:cs="Arial" w:eastAsia="Arial" w:hAnsi="Arial"/>
                <w:b/>
                <w:bCs/>
                <w:color w:val="1B2118"/>
                <w:sz w:val="18"/>
                <w:szCs w:val="18"/>
              </w:rPr>
              <w:t xml:space="preserve">Marketplaces</w:t>
            </w:r>
            <w:r>
              <w:rPr>
                <w:rFonts w:ascii="Arial" w:cs="Arial" w:eastAsia="Arial" w:hAnsi="Arial"/>
                <w:color w:val="1B2118"/>
                <w:sz w:val="18"/>
                <w:szCs w:val="18"/>
              </w:rPr>
              <w:t xml:space="preserve"> in grigio, non cliccabile (sezione in arrivo)</w:t>
            </w:r>
          </w:p>
        </w:tc>
      </w:tr>
    </w:tbl>
    <w:p>
      <w:pPr>
        <w:spacing w:after="160"/>
      </w:pPr>
    </w:p>
    <w:p>
      <w:pPr>
        <w:spacing w:after="140" w:line="300"/>
      </w:pPr>
      <w:r>
        <w:rPr>
          <w:rFonts w:ascii="Arial" w:cs="Arial" w:eastAsia="Arial" w:hAnsi="Arial"/>
          <w:b/>
          <w:bCs/>
          <w:color w:val="1B2118"/>
          <w:sz w:val="21"/>
          <w:szCs w:val="21"/>
        </w:rPr>
        <w:t xml:space="preserve">Ordinare tabelle ed elenchi.</w:t>
      </w:r>
      <w:r>
        <w:rPr>
          <w:rFonts w:ascii="Arial" w:cs="Arial" w:eastAsia="Arial" w:hAnsi="Arial"/>
          <w:color w:val="1B2118"/>
          <w:sz w:val="21"/>
          <w:szCs w:val="21"/>
        </w:rPr>
        <w:t xml:space="preserve"> Ogni tabella del portale si ordina per qualsiasi colonna: fate clic sull'intestazione per l'ordine crescente (freccia ▲) e di nuovo per il decrescente (▼); le colonne non ordinate mostrano ↕. Vale per Dashboard, Audit, Calcolo crediti, Registro dei crediti, Simulatore (scenari, risultati, costi e parte economica) e per le tabelle del calcolo. Gli elenchi a schede (Pratiche, Utenti, Organizzazioni, Enti di Validazione, Registri, Reclami, Crediti emessi, documenti, pagamenti e Rapporti di una pratica) hanno in alto il menu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con il pulsante ▲/▼ del verso; «ordine predefinito» torna all'ordine iniziale. I valori vuoti restano sempre in fondo. Le tabelle in cui si inseriscono i dati anno per anno restano in ordine di anno.</w:t>
      </w: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Dashboard</w:t>
      </w:r>
      <w:bookmarkEnd w:id="1"/>
    </w:p>
    <w:p>
      <w:pPr>
        <w:spacing w:after="140" w:line="300"/>
      </w:pPr>
      <w:r>
        <w:rPr>
          <w:rFonts w:ascii="Arial" w:cs="Arial" w:eastAsia="Arial" w:hAnsi="Arial"/>
          <w:b/>
          <w:bCs/>
          <w:color w:val="1B2118"/>
          <w:sz w:val="21"/>
          <w:szCs w:val="21"/>
        </w:rPr>
        <w:t xml:space="preserve">Dal telefono (dal 22/10/2026).</w:t>
      </w:r>
      <w:r>
        <w:rPr>
          <w:rFonts w:ascii="Arial" w:cs="Arial" w:eastAsia="Arial" w:hAnsi="Arial"/>
          <w:color w:val="1B2118"/>
          <w:sz w:val="21"/>
          <w:szCs w:val="21"/>
        </w:rPr>
        <w:t xml:space="preserve"> Su uno schermo fino a 760 px l'intestazione mostra solo i loghi, la campanella e </w:t>
      </w:r>
      <w:r>
        <w:rPr>
          <w:rFonts w:ascii="Arial" w:cs="Arial" w:eastAsia="Arial" w:hAnsi="Arial"/>
          <w:b/>
          <w:bCs/>
          <w:color w:val="1B2118"/>
          <w:sz w:val="21"/>
          <w:szCs w:val="21"/>
        </w:rPr>
        <w:t xml:space="preserve">☰ Menu</w:t>
      </w:r>
      <w:r>
        <w:rPr>
          <w:rFonts w:ascii="Arial" w:cs="Arial" w:eastAsia="Arial" w:hAnsi="Arial"/>
          <w:color w:val="1B2118"/>
          <w:sz w:val="21"/>
          <w:szCs w:val="21"/>
        </w:rPr>
        <w:t xml:space="preserve">, che apre tutte le voci, il profilo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il pallino verde delle Notizie CO2 compare sul pulsante Menu e accanto alla voce. La tabella della Dashboard e quella dell'Audit diventano schede, una per pratica o per evento, con l'etichetta di ogni colonna; l'ordine si sceglie con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sopra le schede. In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si vede prima l'elenco: toccando una pratica si apre il dettaglio, con </w:t>
      </w:r>
      <w:r>
        <w:rPr>
          <w:rFonts w:ascii="Arial" w:cs="Arial" w:eastAsia="Arial" w:hAnsi="Arial"/>
          <w:b/>
          <w:bCs/>
          <w:color w:val="1B2118"/>
          <w:sz w:val="21"/>
          <w:szCs w:val="21"/>
        </w:rPr>
        <w:t xml:space="preserve">← Tutte le pratiche</w:t>
      </w:r>
      <w:r>
        <w:rPr>
          <w:rFonts w:ascii="Arial" w:cs="Arial" w:eastAsia="Arial" w:hAnsi="Arial"/>
          <w:color w:val="1B2118"/>
          <w:sz w:val="21"/>
          <w:szCs w:val="21"/>
        </w:rPr>
        <w:t xml:space="preserve"> in alto. Le tabelle più larghe (simulatore, calcolo) scorrono di lato dentro il loro riquadro. I campi di testo sono a 16 px, così l'iPhone non ingrandisce la pagina quando li si tocca.</w:t>
      </w:r>
    </w:p>
    <w:p>
      <w:pPr>
        <w:spacing w:after="140" w:line="30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Dashboard</w:t>
      </w:r>
      <w:r>
        <w:rPr>
          <w:rFonts w:ascii="Arial" w:cs="Arial" w:eastAsia="Arial" w:hAnsi="Arial"/>
          <w:color w:val="1B2118"/>
          <w:sz w:val="21"/>
          <w:szCs w:val="21"/>
        </w:rPr>
        <w:t xml:space="preserve"> è la pagina iniziale dello staff: mostra in un'unica tabella tutte le pratiche, Progetti e Rapporti, con l'avanzamento, la fase corrente, la scadenza e ciò che c'è da fare.</w:t>
      </w:r>
    </w:p>
    <w:p>
      <w:pPr>
        <w:spacing w:after="140" w:line="300"/>
      </w:pPr>
      <w:r>
        <w:rPr>
          <w:rFonts w:ascii="Arial" w:cs="Arial" w:eastAsia="Arial" w:hAnsi="Arial"/>
          <w:b/>
          <w:bCs/>
          <w:color w:val="1B2118"/>
          <w:sz w:val="21"/>
          <w:szCs w:val="21"/>
        </w:rPr>
        <w:t xml:space="preserve">Barra di avanzamento a LED.</w:t>
      </w:r>
      <w:r>
        <w:rPr>
          <w:rFonts w:ascii="Arial" w:cs="Arial" w:eastAsia="Arial" w:hAnsi="Arial"/>
          <w:color w:val="1B2118"/>
          <w:sz w:val="21"/>
          <w:szCs w:val="21"/>
        </w:rPr>
        <w:t xml:space="preserve"> La colonna </w:t>
      </w:r>
      <w:r>
        <w:rPr>
          <w:rFonts w:ascii="Arial" w:cs="Arial" w:eastAsia="Arial" w:hAnsi="Arial"/>
          <w:b/>
          <w:bCs/>
          <w:color w:val="1B2118"/>
          <w:sz w:val="21"/>
          <w:szCs w:val="21"/>
        </w:rPr>
        <w:t xml:space="preserve">Avanzamento</w:t>
      </w:r>
      <w:r>
        <w:rPr>
          <w:rFonts w:ascii="Arial" w:cs="Arial" w:eastAsia="Arial" w:hAnsi="Arial"/>
          <w:color w:val="1B2118"/>
          <w:sz w:val="21"/>
          <w:szCs w:val="21"/>
        </w:rPr>
        <w:t xml:space="preserve"> mostra per ogni pratica (quindi per ogni Comune) una barra di 7 luci, una per fase. Le fasi </w:t>
      </w:r>
      <w:r>
        <w:rPr>
          <w:rFonts w:ascii="Arial" w:cs="Arial" w:eastAsia="Arial" w:hAnsi="Arial"/>
          <w:b/>
          <w:bCs/>
          <w:color w:val="1B2118"/>
          <w:sz w:val="21"/>
          <w:szCs w:val="21"/>
        </w:rPr>
        <w:t xml:space="preserve">completate sono accese</w:t>
      </w:r>
      <w:r>
        <w:rPr>
          <w:rFonts w:ascii="Arial" w:cs="Arial" w:eastAsia="Arial" w:hAnsi="Arial"/>
          <w:color w:val="1B2118"/>
          <w:sz w:val="21"/>
          <w:szCs w:val="21"/>
        </w:rPr>
        <w:t xml:space="preserve"> (ambra), quelle </w:t>
      </w:r>
      <w:r>
        <w:rPr>
          <w:rFonts w:ascii="Arial" w:cs="Arial" w:eastAsia="Arial" w:hAnsi="Arial"/>
          <w:b/>
          <w:bCs/>
          <w:color w:val="1B2118"/>
          <w:sz w:val="21"/>
          <w:szCs w:val="21"/>
        </w:rPr>
        <w:t xml:space="preserve">ancora da fare sono spente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settima luce</w:t>
      </w:r>
      <w:r>
        <w:rPr>
          <w:rFonts w:ascii="Arial" w:cs="Arial" w:eastAsia="Arial" w:hAnsi="Arial"/>
          <w:color w:val="1B2118"/>
          <w:sz w:val="21"/>
          <w:szCs w:val="21"/>
        </w:rPr>
        <w:t xml:space="preserve">, la Chiusura, si accende in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La fase in corso è spenta ma ha un contorno ambra, così si vede subito dove è arrivata la pratica. Accanto c'è il conteggio, ad esempio «4/7». Passando il mouse su una luce compaiono numero, nome e stato della fase. La stessa barra, in piccolo, compare </w:t>
      </w:r>
      <w:r>
        <w:rPr>
          <w:rFonts w:ascii="Arial" w:cs="Arial" w:eastAsia="Arial" w:hAnsi="Arial"/>
          <w:b/>
          <w:bCs/>
          <w:color w:val="1B2118"/>
          <w:sz w:val="21"/>
          <w:szCs w:val="21"/>
        </w:rPr>
        <w:t xml:space="preserve">nell'elenco delle pratiche</w:t>
      </w:r>
      <w:r>
        <w:rPr>
          <w:rFonts w:ascii="Arial" w:cs="Arial" w:eastAsia="Arial" w:hAnsi="Arial"/>
          <w:color w:val="1B2118"/>
          <w:sz w:val="21"/>
          <w:szCs w:val="21"/>
        </w:rPr>
        <w:t xml:space="preserve"> a sinistra della pagina Pratiche (in alto a destra di ogni riquadro, con lo stato sotto) e </w:t>
      </w:r>
      <w:r>
        <w:rPr>
          <w:rFonts w:ascii="Arial" w:cs="Arial" w:eastAsia="Arial" w:hAnsi="Arial"/>
          <w:b/>
          <w:bCs/>
          <w:color w:val="1B2118"/>
          <w:sz w:val="21"/>
          <w:szCs w:val="21"/>
        </w:rPr>
        <w:t xml:space="preserve">in alto a destra nella pratica aperta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Valore dei crediti (dal 23/10/2026).</w:t>
      </w:r>
      <w:r>
        <w:rPr>
          <w:rFonts w:ascii="Arial" w:cs="Arial" w:eastAsia="Arial" w:hAnsi="Arial"/>
          <w:color w:val="1B2118"/>
          <w:sz w:val="21"/>
          <w:szCs w:val="21"/>
        </w:rPr>
        <w:t xml:space="preserve"> In cima alla Dashboard due riquadri danno il valore complessivo dei crediti di tutto il portale, in crediti (1 credito = 1 tCO₂eq) e in euro:</w:t>
      </w:r>
    </w:p>
    <w:p>
      <w:pPr>
        <w:pStyle w:val="ListParagraph"/>
        <w:numPr>
          <w:ilvl w:val="0"/>
          <w:numId w:val="2"/>
        </w:numPr>
        <w:spacing w:after="70" w:line="290"/>
      </w:pPr>
      <w:r>
        <w:rPr>
          <w:rFonts w:ascii="Arial" w:cs="Arial" w:eastAsia="Arial" w:hAnsi="Arial"/>
          <w:b/>
          <w:bCs/>
          <w:color w:val="1B2118"/>
          <w:sz w:val="21"/>
          <w:szCs w:val="21"/>
        </w:rPr>
        <w:t xml:space="preserve">Crediti in simulazione</w:t>
      </w:r>
      <w:r>
        <w:rPr>
          <w:rFonts w:ascii="Arial" w:cs="Arial" w:eastAsia="Arial" w:hAnsi="Arial"/>
          <w:color w:val="1B2118"/>
          <w:sz w:val="21"/>
          <w:szCs w:val="21"/>
        </w:rPr>
        <w:t xml:space="preserve">: per ogni Comune conta solo lo scenario del Simulatore </w:t>
      </w:r>
      <w:r>
        <w:rPr>
          <w:rFonts w:ascii="Arial" w:cs="Arial" w:eastAsia="Arial" w:hAnsi="Arial"/>
          <w:b/>
          <w:bCs/>
          <w:color w:val="1B2118"/>
          <w:sz w:val="21"/>
          <w:szCs w:val="21"/>
        </w:rPr>
        <w:t xml:space="preserve">aggiornato più di recente</w:t>
      </w:r>
      <w:r>
        <w:rPr>
          <w:rFonts w:ascii="Arial" w:cs="Arial" w:eastAsia="Arial" w:hAnsi="Arial"/>
          <w:color w:val="1B2118"/>
          <w:sz w:val="21"/>
          <w:szCs w:val="21"/>
        </w:rPr>
        <w:t xml:space="preserve"> (gli scenari prudente, obiettivo, ambizioso… sono alternative e non si sommano), con i crediti netti di tutto il periodo simulato (7, 10 o 21 anni). Gli euro sono i ricavi dello scenario (crediti × valore del credito anno per anno). Gli scenari salvati prima del 23/10/2026 o senza valore del credito si valorizzano al prezzo di riferimento e il riquadro dice quanti sono: basta riaprirli e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nel Simulatore. È una stima ex ante, non certificabile.</w:t>
      </w:r>
    </w:p>
    <w:p>
      <w:pPr>
        <w:pStyle w:val="ListParagraph"/>
        <w:numPr>
          <w:ilvl w:val="0"/>
          <w:numId w:val="2"/>
        </w:numPr>
        <w:spacing w:after="70" w:line="290"/>
      </w:pPr>
      <w:r>
        <w:rPr>
          <w:rFonts w:ascii="Arial" w:cs="Arial" w:eastAsia="Arial" w:hAnsi="Arial"/>
          <w:b/>
          <w:bCs/>
          <w:color w:val="1B2118"/>
          <w:sz w:val="21"/>
          <w:szCs w:val="21"/>
        </w:rPr>
        <w:t xml:space="preserve">Crediti in fase esecutiva</w:t>
      </w:r>
      <w:r>
        <w:rPr>
          <w:rFonts w:ascii="Arial" w:cs="Arial" w:eastAsia="Arial" w:hAnsi="Arial"/>
          <w:color w:val="1B2118"/>
          <w:sz w:val="21"/>
          <w:szCs w:val="21"/>
        </w:rPr>
        <w:t xml:space="preserve">: tre righe. </w:t>
      </w:r>
      <w:r>
        <w:rPr>
          <w:rFonts w:ascii="Arial" w:cs="Arial" w:eastAsia="Arial" w:hAnsi="Arial"/>
          <w:b/>
          <w:bCs/>
          <w:color w:val="1B2118"/>
          <w:sz w:val="21"/>
          <w:szCs w:val="21"/>
        </w:rPr>
        <w:t xml:space="preserve">Calcolati</w:t>
      </w:r>
      <w:r>
        <w:rPr>
          <w:rFonts w:ascii="Arial" w:cs="Arial" w:eastAsia="Arial" w:hAnsi="Arial"/>
          <w:color w:val="1B2118"/>
          <w:sz w:val="21"/>
          <w:szCs w:val="21"/>
        </w:rPr>
        <w:t xml:space="preserve">: crediti netti dei calcoli ex post confermati e ancora validi (non sostituiti da una nuova versione). </w:t>
      </w:r>
      <w:r>
        <w:rPr>
          <w:rFonts w:ascii="Arial" w:cs="Arial" w:eastAsia="Arial" w:hAnsi="Arial"/>
          <w:b/>
          <w:bCs/>
          <w:color w:val="1B2118"/>
          <w:sz w:val="21"/>
          <w:szCs w:val="21"/>
        </w:rPr>
        <w:t xml:space="preserve">Emessi</w:t>
      </w:r>
      <w:r>
        <w:rPr>
          <w:rFonts w:ascii="Arial" w:cs="Arial" w:eastAsia="Arial" w:hAnsi="Arial"/>
          <w:color w:val="1B2118"/>
          <w:sz w:val="21"/>
          <w:szCs w:val="21"/>
        </w:rPr>
        <w:t xml:space="preserve">: crediti dei lotti emessi dai Rapporti. </w:t>
      </w:r>
      <w:r>
        <w:rPr>
          <w:rFonts w:ascii="Arial" w:cs="Arial" w:eastAsia="Arial" w:hAnsi="Arial"/>
          <w:b/>
          <w:bCs/>
          <w:color w:val="1B2118"/>
          <w:sz w:val="21"/>
          <w:szCs w:val="21"/>
        </w:rPr>
        <w:t xml:space="preserve">Venduti</w:t>
      </w:r>
      <w:r>
        <w:rPr>
          <w:rFonts w:ascii="Arial" w:cs="Arial" w:eastAsia="Arial" w:hAnsi="Arial"/>
          <w:color w:val="1B2118"/>
          <w:sz w:val="21"/>
          <w:szCs w:val="21"/>
        </w:rPr>
        <w:t xml:space="preserve">: crediti venduti con il valore comunicato dal registro. Calcolati ed emessi sono valorizzati al </w:t>
      </w:r>
      <w:r>
        <w:rPr>
          <w:rFonts w:ascii="Arial" w:cs="Arial" w:eastAsia="Arial" w:hAnsi="Arial"/>
          <w:b/>
          <w:bCs/>
          <w:color w:val="1B2118"/>
          <w:sz w:val="21"/>
          <w:szCs w:val="21"/>
        </w:rPr>
        <w:t xml:space="preserve">prezzo di riferimento</w:t>
      </w:r>
      <w:r>
        <w:rPr>
          <w:rFonts w:ascii="Arial" w:cs="Arial" w:eastAsia="Arial" w:hAnsi="Arial"/>
          <w:color w:val="1B2118"/>
          <w:sz w:val="21"/>
          <w:szCs w:val="21"/>
        </w:rPr>
        <w:t xml:space="preserve"> (Impostazioni); le righe non si sommano, perché i crediti emessi provengono dai calcoli.</w:t>
      </w:r>
    </w:p>
    <w:p>
      <w:pPr>
        <w:spacing w:after="140" w:line="300"/>
      </w:pPr>
      <w:r>
        <w:rPr>
          <w:rFonts w:ascii="Arial" w:cs="Arial" w:eastAsia="Arial" w:hAnsi="Arial"/>
          <w:color w:val="1B2118"/>
          <w:sz w:val="21"/>
          <w:szCs w:val="21"/>
        </w:rPr>
        <w:t xml:space="preserve">Gli utenti dei Comuni vedono gli stessi riquadri nella loro pagina </w:t>
      </w:r>
      <w:r>
        <w:rPr>
          <w:rFonts w:ascii="Arial" w:cs="Arial" w:eastAsia="Arial" w:hAnsi="Arial"/>
          <w:b/>
          <w:bCs/>
          <w:color w:val="1B2118"/>
          <w:sz w:val="21"/>
          <w:szCs w:val="21"/>
        </w:rPr>
        <w:t xml:space="preserve">Le mie pratiche</w:t>
      </w:r>
      <w:r>
        <w:rPr>
          <w:rFonts w:ascii="Arial" w:cs="Arial" w:eastAsia="Arial" w:hAnsi="Arial"/>
          <w:color w:val="1B2118"/>
          <w:sz w:val="21"/>
          <w:szCs w:val="21"/>
        </w:rPr>
        <w:t xml:space="preserve">, ma solo con i dati della propria organizzazione (scenari collegati alla loro organizzazione, loro calcoli, lotti e vendite). Gli scenari fatti per un Comune scritto solo per nome, senza organizzazione collegata, contano solo per lo staff.</w:t>
      </w:r>
    </w:p>
    <w:p>
      <w:pPr>
        <w:spacing w:after="140" w:line="300"/>
      </w:pPr>
      <w:r>
        <w:rPr>
          <w:rFonts w:ascii="Arial" w:cs="Arial" w:eastAsia="Arial" w:hAnsi="Arial"/>
          <w:b/>
          <w:bCs/>
          <w:color w:val="1B2118"/>
          <w:sz w:val="21"/>
          <w:szCs w:val="21"/>
        </w:rPr>
        <w:t xml:space="preserve">Riquadri delle pratiche.</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7"/>
        <w:gridCol w:w="6961"/>
      </w:tblGrid>
      <w:tr>
        <w:trPr>
          <w:tblHeader/>
        </w:trPr>
        <w:tc>
          <w:tcPr>
            <w:tcW w:type="dxa" w:w="26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96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senza scadenza</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senza una data di scadenza (numero in arancione): sono pratiche </w:t>
            </w:r>
            <w:r>
              <w:rPr>
                <w:rFonts w:ascii="Arial" w:cs="Arial" w:eastAsia="Arial" w:hAnsi="Arial"/>
                <w:b/>
                <w:bCs/>
                <w:color w:val="1B2118"/>
                <w:sz w:val="18"/>
                <w:szCs w:val="18"/>
              </w:rPr>
              <w:t xml:space="preserve">senza scadenza nota</w:t>
            </w:r>
            <w:r>
              <w:rPr>
                <w:rFonts w:ascii="Arial" w:cs="Arial" w:eastAsia="Arial" w:hAnsi="Arial"/>
                <w:color w:val="1B2118"/>
                <w:sz w:val="18"/>
                <w:szCs w:val="18"/>
              </w:rPr>
              <w:t xml:space="preserve">, non pratiche in regola. Lo zero di «In scadenza» e «Scadute» vale solo per le pratiche con una data. Nella colonna Scadenza compare «nessuna scadenza nota»</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 Un codice scritto a mano si salva così com'è; se non segue il formato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 (es. minuscole o tre cifre) compare un avviso arancione. La regola sul formato dei codici scritti a mano è in attesa della Fondazione.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si possono completare dopo.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Ente prima della fase 5.</w:t>
      </w:r>
      <w:r>
        <w:rPr>
          <w:rFonts w:ascii="Arial" w:cs="Arial" w:eastAsia="Arial" w:hAnsi="Arial"/>
          <w:color w:val="1B2118"/>
          <w:sz w:val="21"/>
          <w:szCs w:val="21"/>
        </w:rPr>
        <w:t xml:space="preserve"> La fase 5 si apre solo se la pratica ha un ente di validazione e verifica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assegnato (Guida 6.2.3: la validazione la svolge l'ente incaricato). Senza ente, al posto di </w:t>
      </w:r>
      <w:r>
        <w:rPr>
          <w:rFonts w:ascii="Arial" w:cs="Arial" w:eastAsia="Arial" w:hAnsi="Arial"/>
          <w:b/>
          <w:bCs/>
          <w:color w:val="1B2118"/>
          <w:sz w:val="21"/>
          <w:szCs w:val="21"/>
        </w:rPr>
        <w:t xml:space="preserve">Apri fase</w:t>
      </w:r>
      <w:r>
        <w:rPr>
          <w:rFonts w:ascii="Arial" w:cs="Arial" w:eastAsia="Arial" w:hAnsi="Arial"/>
          <w:color w:val="1B2118"/>
          <w:sz w:val="21"/>
          <w:szCs w:val="21"/>
        </w:rPr>
        <w:t xml:space="preserve"> compare «Per aprire la fase 5 assegna prima l'ente di validazione e verifica». Con la fase 5 aperta l'ente si può sostituire ma non togliere.</w:t>
      </w:r>
    </w:p>
    <w:p>
      <w:pPr>
        <w:spacing w:after="140" w:line="300"/>
      </w:pPr>
      <w:r>
        <w:rPr>
          <w:rFonts w:ascii="Arial" w:cs="Arial" w:eastAsia="Arial" w:hAnsi="Arial"/>
          <w:b/>
          <w:bCs/>
          <w:color w:val="1B2118"/>
          <w:sz w:val="21"/>
          <w:szCs w:val="21"/>
        </w:rPr>
        <w:t xml:space="preserve">Fase 3 e feedback pubblico.</w:t>
      </w:r>
      <w:r>
        <w:rPr>
          <w:rFonts w:ascii="Arial" w:cs="Arial" w:eastAsia="Arial" w:hAnsi="Arial"/>
          <w:color w:val="1B2118"/>
          <w:sz w:val="21"/>
          <w:szCs w:val="21"/>
        </w:rPr>
        <w:t xml:space="preserve"> La fase 3 è il feedback pubblico: si apre da sola quando aprite il feedback e la sua scadenza è l'ultimo giorno del feedback. Si chiude solo dal giorno dopo il termine, insieme al feedback (capitolo «Feedback pubblico»).</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Nella Dashboard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Il periodo comprende l'ultimo giorno indicato (ora italiana). Fino a quel giorno il riquadro mostra «Il feedback resta aperto fino al … compreso: si chiude dal giorno successivo» e non c'è un pulsante di chiusura. Dal giorno dopo il portale non accetta più osservazioni e lo stato si chiude con </w:t>
      </w:r>
      <w:r>
        <w:rPr>
          <w:rFonts w:ascii="Arial" w:cs="Arial" w:eastAsia="Arial" w:hAnsi="Arial"/>
          <w:b/>
          <w:bCs/>
          <w:color w:val="1B2118"/>
          <w:sz w:val="21"/>
          <w:szCs w:val="21"/>
        </w:rPr>
        <w:t xml:space="preserve">Chiudi il feedback pubblico e la fase 3</w:t>
      </w:r>
      <w:r>
        <w:rPr>
          <w:rFonts w:ascii="Arial" w:cs="Arial" w:eastAsia="Arial" w:hAnsi="Arial"/>
          <w:color w:val="1B2118"/>
          <w:sz w:val="21"/>
          <w:szCs w:val="21"/>
        </w:rPr>
        <w:t xml:space="preserve">: feedback e fase 3 si chiudono insieme. Anche </w:t>
      </w:r>
      <w:r>
        <w:rPr>
          <w:rFonts w:ascii="Arial" w:cs="Arial" w:eastAsia="Arial" w:hAnsi="Arial"/>
          <w:b/>
          <w:bCs/>
          <w:color w:val="1B2118"/>
          <w:sz w:val="21"/>
          <w:szCs w:val="21"/>
        </w:rPr>
        <w:t xml:space="preserve">Chiudi fase</w:t>
      </w:r>
      <w:r>
        <w:rPr>
          <w:rFonts w:ascii="Arial" w:cs="Arial" w:eastAsia="Arial" w:hAnsi="Arial"/>
          <w:color w:val="1B2118"/>
          <w:sz w:val="21"/>
          <w:szCs w:val="21"/>
        </w:rPr>
        <w:t xml:space="preserve"> sulla fase 3 è rifiutato prima del termine e, dopo il termine, chiude il feedback.</w:t>
      </w:r>
    </w:p>
    <w:p>
      <w:pPr>
        <w:spacing w:after="140" w:line="300"/>
      </w:pPr>
      <w:r>
        <w:rPr>
          <w:rFonts w:ascii="Arial" w:cs="Arial" w:eastAsia="Arial" w:hAnsi="Arial"/>
          <w:b/>
          <w:bCs/>
          <w:color w:val="1B2118"/>
          <w:sz w:val="21"/>
          <w:szCs w:val="21"/>
        </w:rPr>
        <w:t xml:space="preserve">Chiusura anticipata.</w:t>
      </w:r>
      <w:r>
        <w:rPr>
          <w:rFonts w:ascii="Arial" w:cs="Arial" w:eastAsia="Arial" w:hAnsi="Arial"/>
          <w:color w:val="1B2118"/>
          <w:sz w:val="21"/>
          <w:szCs w:val="21"/>
        </w:rPr>
        <w:t xml:space="preserve"> È ammessa solo se la pratica è </w:t>
      </w:r>
      <w:r>
        <w:rPr>
          <w:rFonts w:ascii="Arial" w:cs="Arial" w:eastAsia="Arial" w:hAnsi="Arial"/>
          <w:b/>
          <w:bCs/>
          <w:color w:val="1B2118"/>
          <w:sz w:val="21"/>
          <w:szCs w:val="21"/>
        </w:rPr>
        <w:t xml:space="preserve">annullata, ritirata o chiusa</w:t>
      </w:r>
      <w:r>
        <w:rPr>
          <w:rFonts w:ascii="Arial" w:cs="Arial" w:eastAsia="Arial" w:hAnsi="Arial"/>
          <w:color w:val="1B2118"/>
          <w:sz w:val="21"/>
          <w:szCs w:val="21"/>
        </w:rPr>
        <w:t xml:space="preserve">. Compare </w:t>
      </w:r>
      <w:r>
        <w:rPr>
          <w:rFonts w:ascii="Arial" w:cs="Arial" w:eastAsia="Arial" w:hAnsi="Arial"/>
          <w:b/>
          <w:bCs/>
          <w:color w:val="1B2118"/>
          <w:sz w:val="21"/>
          <w:szCs w:val="21"/>
        </w:rPr>
        <w:t xml:space="preserve">Chiudi ora: pratica …</w:t>
      </w:r>
      <w:r>
        <w:rPr>
          <w:rFonts w:ascii="Arial" w:cs="Arial" w:eastAsia="Arial" w:hAnsi="Arial"/>
          <w:color w:val="1B2118"/>
          <w:sz w:val="21"/>
          <w:szCs w:val="21"/>
        </w:rPr>
        <w:t xml:space="preserve">, con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obbligatoria; la fase 3 resta com'è e la motivazione finisce nell'audit. Con la pratica attiva la chiusura prima del termine non è possibile (Guida 6.2.2). Con la fase 3 già completata non si apre un nuovo feedback.</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Amministratore</w:t>
      </w:r>
      <w:r>
        <w:rPr>
          <w:rFonts w:ascii="Arial" w:cs="Arial" w:eastAsia="Arial" w:hAnsi="Arial"/>
          <w:color w:val="1B2118"/>
          <w:sz w:val="21"/>
          <w:szCs w:val="21"/>
        </w:rPr>
        <w:t xml:space="preserve">. Scegliendo Amministratore compare un promemoria: avrà accesso completo a tutti i dati e alla gestione utenti; assegnate questo ruolo solo a persone della Fondazione.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Il portale </w:t>
      </w:r>
      <w:r>
        <w:rPr>
          <w:rFonts w:ascii="Arial" w:cs="Arial" w:eastAsia="Arial" w:hAnsi="Arial"/>
          <w:b/>
          <w:bCs/>
          <w:color w:val="1B2118"/>
          <w:sz w:val="21"/>
          <w:szCs w:val="21"/>
        </w:rPr>
        <w:t xml:space="preserve">invia all'utente un'email</w:t>
      </w:r>
      <w:r>
        <w:rPr>
          <w:rFonts w:ascii="Arial" w:cs="Arial" w:eastAsia="Arial" w:hAnsi="Arial"/>
          <w:color w:val="1B2118"/>
          <w:sz w:val="21"/>
          <w:szCs w:val="21"/>
        </w:rPr>
        <w:t xml:space="preserve"> con l'indirizzo del portale, l'email di accesso e la password temporanea, ricordando che al primo accesso dovrà sceglierne una personale. La finestra dice se l'email è partita («✉ Email … inviata a …»). Se non è partita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con il motivo: l'utente è comunque creato, e la password va comunicata a mano con un canale sicuro, ad esempio per telefono.</w:t>
      </w:r>
    </w:p>
    <w:p>
      <w:pPr>
        <w:spacing w:after="60"/>
      </w:pPr>
    </w:p>
    <w:p>
      <w:pPr>
        <w:spacing w:after="140" w:line="300"/>
      </w:pPr>
      <w:r>
        <w:rPr>
          <w:rFonts w:ascii="Arial" w:cs="Arial" w:eastAsia="Arial" w:hAnsi="Arial"/>
          <w:b/>
          <w:bCs/>
          <w:color w:val="1B2118"/>
          <w:sz w:val="21"/>
          <w:szCs w:val="21"/>
        </w:rPr>
        <w:t xml:space="preserve">Limite attuale delle email.</w:t>
      </w:r>
      <w:r>
        <w:rPr>
          <w:rFonts w:ascii="Arial" w:cs="Arial" w:eastAsia="Arial" w:hAnsi="Arial"/>
          <w:color w:val="1B2118"/>
          <w:sz w:val="21"/>
          <w:szCs w:val="21"/>
        </w:rPr>
        <w:t xml:space="preserve"> Finché il dominio della Fondazione non è verificato su Resend, le email partono dal mittente di prova e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 per tutti gli altri compare «Email non inviata (Resend 403 …)». Dopo la verifica del dominio e l'impostazione del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le email arrivano a tutti.</w:t>
      </w: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o ad Amministratore le associazioni alle organizzazioni si azzerano. Con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si nomina Amministratore un utente esistente, o si riporta un Amministratore a Operatore.</w:t>
      </w:r>
    </w:p>
    <w:p>
      <w:pPr>
        <w:spacing w:after="140" w:line="300"/>
      </w:pPr>
      <w:r>
        <w:rPr>
          <w:rFonts w:ascii="Arial" w:cs="Arial" w:eastAsia="Arial" w:hAnsi="Arial"/>
          <w:b/>
          <w:bCs/>
          <w:color w:val="1B2118"/>
          <w:sz w:val="21"/>
          <w:szCs w:val="21"/>
        </w:rPr>
        <w:t xml:space="preserve">Eliminare un utente mai attivo.</w:t>
      </w:r>
      <w:r>
        <w:rPr>
          <w:rFonts w:ascii="Arial" w:cs="Arial" w:eastAsia="Arial" w:hAnsi="Arial"/>
          <w:color w:val="1B2118"/>
          <w:sz w:val="21"/>
          <w:szCs w:val="21"/>
        </w:rPr>
        <w:t xml:space="preserve"> Il pulsante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compare solo sugli utenti che </w:t>
      </w:r>
      <w:r>
        <w:rPr>
          <w:rFonts w:ascii="Arial" w:cs="Arial" w:eastAsia="Arial" w:hAnsi="Arial"/>
          <w:b/>
          <w:bCs/>
          <w:color w:val="1B2118"/>
          <w:sz w:val="21"/>
          <w:szCs w:val="21"/>
        </w:rPr>
        <w:t xml:space="preserve">non hanno mai operato nel portale</w:t>
      </w:r>
      <w:r>
        <w:rPr>
          <w:rFonts w:ascii="Arial" w:cs="Arial" w:eastAsia="Arial" w:hAnsi="Arial"/>
          <w:color w:val="1B2118"/>
          <w:sz w:val="21"/>
          <w:szCs w:val="21"/>
        </w:rPr>
        <w:t xml:space="preserve">, cioè che non compaiono come autori di nessuna voce dell'audit trail. Basta anche un solo accesso al portale (registro degli accessi) o il cambio della password al primo accesso perché l'utente risulti attivo: da quel momento si può solo disattivare. Serve, ad esempio, per un account creato per errore o con l'email sbagliata.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nella riga dell'utente.</w:t>
      </w:r>
    </w:p>
    <w:p>
      <w:pPr>
        <w:pStyle w:val="ListParagraph"/>
        <w:numPr>
          <w:ilvl w:val="0"/>
          <w:numId w:val="18"/>
        </w:numPr>
        <w:spacing w:after="70" w:line="290"/>
      </w:pPr>
      <w:r>
        <w:rPr>
          <w:rFonts w:ascii="Arial" w:cs="Arial" w:eastAsia="Arial" w:hAnsi="Arial"/>
          <w:color w:val="1B2118"/>
          <w:sz w:val="21"/>
          <w:szCs w:val="21"/>
        </w:rPr>
        <w:t xml:space="preserve">Leggete l'avviso e premete </w:t>
      </w:r>
      <w:r>
        <w:rPr>
          <w:rFonts w:ascii="Arial" w:cs="Arial" w:eastAsia="Arial" w:hAnsi="Arial"/>
          <w:b/>
          <w:bCs/>
          <w:color w:val="1B2118"/>
          <w:sz w:val="21"/>
          <w:szCs w:val="21"/>
        </w:rPr>
        <w:t xml:space="preserve">Elimina definitivamente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Annulla</w:t>
      </w:r>
      <w:r>
        <w:rPr>
          <w:rFonts w:ascii="Arial" w:cs="Arial" w:eastAsia="Arial" w:hAnsi="Arial"/>
          <w:color w:val="1B2118"/>
          <w:sz w:val="21"/>
          <w:szCs w:val="21"/>
        </w:rPr>
        <w:t xml:space="preserve"> non succede nulla.</w:t>
      </w:r>
    </w:p>
    <w:p>
      <w:pPr>
        <w:spacing w:after="60"/>
      </w:pPr>
    </w:p>
    <w:p>
      <w:pPr>
        <w:spacing w:after="140" w:line="300"/>
      </w:pPr>
      <w:r>
        <w:rPr>
          <w:rFonts w:ascii="Arial" w:cs="Arial" w:eastAsia="Arial" w:hAnsi="Arial"/>
          <w:color w:val="1B2118"/>
          <w:sz w:val="21"/>
          <w:szCs w:val="21"/>
        </w:rPr>
        <w:t xml:space="preserve">Si cancellano l'account, il profilo e le associazioni alle organizzazioni; nell'audit resta la voce «cancellazione profilo» con il vostro nome. L'operazione non si può annullare. Non si possono eliminare sé stessi né l'Amministratore principale. Chi ha già operato si può solo </w:t>
      </w:r>
      <w:r>
        <w:rPr>
          <w:rFonts w:ascii="Arial" w:cs="Arial" w:eastAsia="Arial" w:hAnsi="Arial"/>
          <w:b/>
          <w:bCs/>
          <w:color w:val="1B2118"/>
          <w:sz w:val="21"/>
          <w:szCs w:val="21"/>
        </w:rPr>
        <w:t xml:space="preserve">disattivare</w:t>
      </w:r>
      <w:r>
        <w:rPr>
          <w:rFonts w:ascii="Arial" w:cs="Arial" w:eastAsia="Arial" w:hAnsi="Arial"/>
          <w:color w:val="1B2118"/>
          <w:sz w:val="21"/>
          <w:szCs w:val="21"/>
        </w:rPr>
        <w:t xml:space="preserve">, così la sua storia resta nell'audit.</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Quando entra (o ricarica la pagina) vede il riquadro </w:t>
      </w:r>
      <w:r>
        <w:rPr>
          <w:rFonts w:ascii="Arial" w:cs="Arial" w:eastAsia="Arial" w:hAnsi="Arial"/>
          <w:b/>
          <w:bCs/>
          <w:color w:val="1B2118"/>
          <w:sz w:val="21"/>
          <w:szCs w:val="21"/>
        </w:rPr>
        <w:t xml:space="preserve">«Account disattivato»</w:t>
      </w:r>
      <w:r>
        <w:rPr>
          <w:rFonts w:ascii="Arial" w:cs="Arial" w:eastAsia="Arial" w:hAnsi="Arial"/>
          <w:color w:val="1B2118"/>
          <w:sz w:val="21"/>
          <w:szCs w:val="21"/>
        </w:rPr>
        <w:t xml:space="preserve"> con l'invito a scrivere alla Fondazione e il pulsante Esci, invece di elenchi vuoti che sembrerebbero «nessuna pratica» (dal 21/10/2026, collaudo V05). Non si può disattivare sé stessi. Si può disattivare anche un altro Amministratore.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9"/>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9"/>
        </w:numPr>
        <w:spacing w:after="70" w:line="290"/>
      </w:pPr>
      <w:r>
        <w:rPr>
          <w:rFonts w:ascii="Arial" w:cs="Arial" w:eastAsia="Arial" w:hAnsi="Arial"/>
          <w:color w:val="1B2118"/>
          <w:sz w:val="21"/>
          <w:szCs w:val="21"/>
        </w:rPr>
        <w:t xml:space="preserve">Il portale invia all'utente un'email con la nuova password temporanea e dice se è partita. Se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comunicate la password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La riga di luca.moretti@operate.it ha il segno </w:t>
      </w:r>
      <w:r>
        <w:rPr>
          <w:rFonts w:ascii="Arial" w:cs="Arial" w:eastAsia="Arial" w:hAnsi="Arial"/>
          <w:b/>
          <w:bCs/>
          <w:color w:val="1B2118"/>
          <w:sz w:val="21"/>
          <w:szCs w:val="21"/>
        </w:rPr>
        <w:t xml:space="preserve">Principale</w:t>
      </w:r>
      <w:r>
        <w:rPr>
          <w:rFonts w:ascii="Arial" w:cs="Arial" w:eastAsia="Arial" w:hAnsi="Arial"/>
          <w:color w:val="1B2118"/>
          <w:sz w:val="21"/>
          <w:szCs w:val="21"/>
        </w:rPr>
        <w:t xml:space="preserve"> e nessun pulsante: nessun Amministratore la può modificare, declassare, disattivare o cancellare. Lo impedisce il database (script 29), non solo la pagina: nemmeno dal pannello </w:t>
      </w:r>
      <w:r>
        <w:rPr>
          <w:rFonts w:ascii="Arial" w:cs="Arial" w:eastAsia="Arial" w:hAnsi="Arial"/>
          <w:i/>
          <w:iCs/>
          <w:color w:val="1B2118"/>
          <w:sz w:val="21"/>
          <w:szCs w:val="21"/>
        </w:rPr>
        <w:t xml:space="preserve">Authentication</w:t>
      </w:r>
      <w:r>
        <w:rPr>
          <w:rFonts w:ascii="Arial" w:cs="Arial" w:eastAsia="Arial" w:hAnsi="Arial"/>
          <w:color w:val="1B2118"/>
          <w:sz w:val="21"/>
          <w:szCs w:val="21"/>
        </w:rPr>
        <w:t xml:space="preserve"> di Supabase si può cancellare l'account. In caso di reale necessità la protezione si toglie solo dal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di Supabase, con le istruzioni in fondo allo script 29.</w:t>
      </w:r>
    </w:p>
    <w:p>
      <w:pPr>
        <w:spacing w:after="140" w:line="300"/>
      </w:pPr>
      <w:r>
        <w:rPr>
          <w:rFonts w:ascii="Arial" w:cs="Arial" w:eastAsia="Arial" w:hAnsi="Arial"/>
          <w:b/>
          <w:bCs/>
          <w:color w:val="1B2118"/>
          <w:sz w:val="21"/>
          <w:szCs w:val="21"/>
        </w:rPr>
        <w:t xml:space="preserve">Utenti online (solo Amministratore principale).</w:t>
      </w:r>
      <w:r>
        <w:rPr>
          <w:rFonts w:ascii="Arial" w:cs="Arial" w:eastAsia="Arial" w:hAnsi="Arial"/>
          <w:color w:val="1B2118"/>
          <w:sz w:val="21"/>
          <w:szCs w:val="21"/>
        </w:rPr>
        <w:t xml:space="preserve"> Nell'intestazione, accanto alla campanella, l'Amministratore principale vede il pulsante </w:t>
      </w:r>
      <w:r>
        <w:rPr>
          <w:rFonts w:ascii="Arial" w:cs="Arial" w:eastAsia="Arial" w:hAnsi="Arial"/>
          <w:b/>
          <w:bCs/>
          <w:color w:val="1B2118"/>
          <w:sz w:val="21"/>
          <w:szCs w:val="21"/>
        </w:rPr>
        <w:t xml:space="preserve">● n online</w:t>
      </w:r>
      <w:r>
        <w:rPr>
          <w:rFonts w:ascii="Arial" w:cs="Arial" w:eastAsia="Arial" w:hAnsi="Arial"/>
          <w:color w:val="1B2118"/>
          <w:sz w:val="21"/>
          <w:szCs w:val="21"/>
        </w:rPr>
        <w:t xml:space="preserve"> con il numero degli utenti collegati in quel momento. Il quadro completo è nella sezione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(capitolo seguente). Premendo il pulsante si apre l'elenco rapido:</w:t>
      </w:r>
    </w:p>
    <w:p>
      <w:pPr>
        <w:pStyle w:val="ListParagraph"/>
        <w:numPr>
          <w:ilvl w:val="0"/>
          <w:numId w:val="2"/>
        </w:numPr>
        <w:spacing w:after="70" w:line="290"/>
      </w:pPr>
      <w:r>
        <w:rPr>
          <w:rFonts w:ascii="Arial" w:cs="Arial" w:eastAsia="Arial" w:hAnsi="Arial"/>
          <w:b/>
          <w:bCs/>
          <w:color w:val="1B2118"/>
          <w:sz w:val="21"/>
          <w:szCs w:val="21"/>
        </w:rPr>
        <w:t xml:space="preserve">online adesso</w:t>
      </w:r>
      <w:r>
        <w:rPr>
          <w:rFonts w:ascii="Arial" w:cs="Arial" w:eastAsia="Arial" w:hAnsi="Arial"/>
          <w:color w:val="1B2118"/>
          <w:sz w:val="21"/>
          <w:szCs w:val="21"/>
        </w:rPr>
        <w:t xml:space="preserve">: nome o email, ruolo, organizzazione, pagina aperta e da quanto tempo è collegato;</w:t>
      </w:r>
    </w:p>
    <w:p>
      <w:pPr>
        <w:pStyle w:val="ListParagraph"/>
        <w:numPr>
          <w:ilvl w:val="0"/>
          <w:numId w:val="2"/>
        </w:numPr>
        <w:spacing w:after="70" w:line="290"/>
      </w:pPr>
      <w:r>
        <w:rPr>
          <w:rFonts w:ascii="Arial" w:cs="Arial" w:eastAsia="Arial" w:hAnsi="Arial"/>
          <w:b/>
          <w:bCs/>
          <w:color w:val="1B2118"/>
          <w:sz w:val="21"/>
          <w:szCs w:val="21"/>
        </w:rPr>
        <w:t xml:space="preserve">visti nelle ultime 24 ore</w:t>
      </w:r>
      <w:r>
        <w:rPr>
          <w:rFonts w:ascii="Arial" w:cs="Arial" w:eastAsia="Arial" w:hAnsi="Arial"/>
          <w:color w:val="1B2118"/>
          <w:sz w:val="21"/>
          <w:szCs w:val="21"/>
        </w:rPr>
        <w:t xml:space="preserve">: chi è stato collegato di recente, con l'ora dell'ultimo accesso.</w:t>
      </w:r>
    </w:p>
    <w:p>
      <w:pPr>
        <w:spacing w:after="140" w:line="300"/>
      </w:pPr>
      <w:r>
        <w:rPr>
          <w:rFonts w:ascii="Arial" w:cs="Arial" w:eastAsia="Arial" w:hAnsi="Arial"/>
          <w:color w:val="1B2118"/>
          <w:sz w:val="21"/>
          <w:szCs w:val="21"/>
        </w:rPr>
        <w:t xml:space="preserve">Un utente risulta online se ha una pagina del portale aperta e visibile nell'ultimo paio di minuti: il portale lo segnala da solo a ogni cambio di pagina e una volta al minuto. Con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non risulta più online; chiudendo la finestra senza uscire sparisce dopo circa 2 minuti. L'elenco si aggiorna ogni 30 secondi. Si conserva solo l'ultimo collegamento di ciascun utente (nessuno storico, nessun indirizzo IP) e gli altri Amministratori non vedono né il pulsante né i dati: lo controlla il database (script 32). Gli utenti ne sono informati nel Manuale Utente.</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Nessuno può cambiare il proprio ruolo né disattivare sé stesso. La password di un Amministratore non si reimposta dalla pagina Utenti: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User (solo Amministratore principale)</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compare solo all'Amministratore principale (luca.moretti@operate.it). Gli altri Amministratori non la vedono e il database rifiuta loro i dati (script 33). Ha tre schede; ogni tabella si ordina per colonna e si scarica con </w:t>
      </w:r>
      <w:r>
        <w:rPr>
          <w:rFonts w:ascii="Arial" w:cs="Arial" w:eastAsia="Arial" w:hAnsi="Arial"/>
          <w:b/>
          <w:bCs/>
          <w:color w:val="1B2118"/>
          <w:sz w:val="21"/>
          <w:szCs w:val="21"/>
        </w:rPr>
        <w:t xml:space="preserve">Esporta CSV</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b/>
          <w:bCs/>
          <w:color w:val="1B2118"/>
          <w:sz w:val="21"/>
          <w:szCs w:val="21"/>
        </w:rPr>
        <w:t xml:space="preserve">Utenti e stato online.</w:t>
      </w:r>
      <w:r>
        <w:rPr>
          <w:rFonts w:ascii="Arial" w:cs="Arial" w:eastAsia="Arial" w:hAnsi="Arial"/>
          <w:color w:val="1B2118"/>
          <w:sz w:val="21"/>
          <w:szCs w:val="21"/>
        </w:rPr>
        <w:t xml:space="preserve"> Tutti gli utenti, con in cima chi è collegato adesso. Per ognuno:</w:t>
      </w:r>
    </w:p>
    <w:p>
      <w:pPr>
        <w:spacing w:after="60"/>
      </w:pPr>
    </w:p>
    <w:p>
      <w:pPr>
        <w:spacing w:after="140" w:line="300"/>
      </w:pPr>
      <w:r>
        <w:rPr>
          <w:rFonts w:ascii="Arial" w:cs="Arial" w:eastAsia="Arial" w:hAnsi="Arial"/>
          <w:color w:val="1B2118"/>
          <w:sz w:val="21"/>
          <w:szCs w:val="21"/>
        </w:rPr>
        <w:t xml:space="preserve">- stato (</w:t>
      </w:r>
      <w:r>
        <w:rPr>
          <w:rFonts w:ascii="Arial" w:cs="Arial" w:eastAsia="Arial" w:hAnsi="Arial"/>
          <w:b/>
          <w:bCs/>
          <w:color w:val="1B2118"/>
          <w:sz w:val="21"/>
          <w:szCs w:val="21"/>
        </w:rPr>
        <w:t xml:space="preserve">Online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Non collegato</w:t>
      </w:r>
      <w:r>
        <w:rPr>
          <w:rFonts w:ascii="Arial" w:cs="Arial" w:eastAsia="Arial" w:hAnsi="Arial"/>
          <w:color w:val="1B2118"/>
          <w:sz w:val="21"/>
          <w:szCs w:val="21"/>
        </w:rPr>
        <w:t xml:space="preserve">); - ruolo e organizzazione; - pagina aperta e da quanto tempo è collegato, oppure ultima presenza; - ultimo accesso; - accessi e </w:t>
      </w:r>
      <w:r>
        <w:rPr>
          <w:rFonts w:ascii="Arial" w:cs="Arial" w:eastAsia="Arial" w:hAnsi="Arial"/>
          <w:b/>
          <w:bCs/>
          <w:color w:val="1B2118"/>
          <w:sz w:val="21"/>
          <w:szCs w:val="21"/>
        </w:rPr>
        <w:t xml:space="preserve">accessi non riusciti</w:t>
      </w:r>
      <w:r>
        <w:rPr>
          <w:rFonts w:ascii="Arial" w:cs="Arial" w:eastAsia="Arial" w:hAnsi="Arial"/>
          <w:color w:val="1B2118"/>
          <w:sz w:val="21"/>
          <w:szCs w:val="21"/>
        </w:rPr>
        <w:t xml:space="preserve"> degli ultimi 30 giorni; - ultima operazione e numero di operazioni degli ultimi 30 giorni.</w:t>
      </w:r>
    </w:p>
    <w:p>
      <w:pPr>
        <w:spacing w:after="140" w:line="300"/>
      </w:pPr>
      <w:r>
        <w:rPr>
          <w:rFonts w:ascii="Arial" w:cs="Arial" w:eastAsia="Arial" w:hAnsi="Arial"/>
          <w:color w:val="1B2118"/>
          <w:sz w:val="21"/>
          <w:szCs w:val="21"/>
        </w:rPr>
        <w:t xml:space="preserve">In alto i riquadri: online adesso, utenti registrati, account attivi, accessi non riusciti. I pulsanti </w:t>
      </w: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su una riga aprono le altre schede già filtrate su quella persona. La scheda si aggiorna ogni 30 secondi.</w:t>
      </w:r>
    </w:p>
    <w:p>
      <w:pPr>
        <w:pStyle w:val="ListParagraph"/>
        <w:numPr>
          <w:ilvl w:val="0"/>
          <w:numId w:val="21"/>
        </w:numPr>
        <w:spacing w:after="70" w:line="290"/>
      </w:pP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Registro di ogni </w:t>
      </w: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(con email e password o dal link di recupero della password), di ogni </w:t>
      </w:r>
      <w:r>
        <w:rPr>
          <w:rFonts w:ascii="Arial" w:cs="Arial" w:eastAsia="Arial" w:hAnsi="Arial"/>
          <w:b/>
          <w:bCs/>
          <w:color w:val="1B2118"/>
          <w:sz w:val="21"/>
          <w:szCs w:val="21"/>
        </w:rPr>
        <w:t xml:space="preserve">uscita</w:t>
      </w:r>
      <w:r>
        <w:rPr>
          <w:rFonts w:ascii="Arial" w:cs="Arial" w:eastAsia="Arial" w:hAnsi="Arial"/>
          <w:color w:val="1B2118"/>
          <w:sz w:val="21"/>
          <w:szCs w:val="21"/>
        </w:rPr>
        <w:t xml:space="preserve"> con Esci (con la durata del collegamento) e di ogni </w:t>
      </w:r>
      <w:r>
        <w:rPr>
          <w:rFonts w:ascii="Arial" w:cs="Arial" w:eastAsia="Arial" w:hAnsi="Arial"/>
          <w:b/>
          <w:bCs/>
          <w:color w:val="1B2118"/>
          <w:sz w:val="21"/>
          <w:szCs w:val="21"/>
        </w:rPr>
        <w:t xml:space="preserve">accesso non riuscito</w:t>
      </w:r>
      <w:r>
        <w:rPr>
          <w:rFonts w:ascii="Arial" w:cs="Arial" w:eastAsia="Arial" w:hAnsi="Arial"/>
          <w:color w:val="1B2118"/>
          <w:sz w:val="21"/>
          <w:szCs w:val="21"/>
        </w:rPr>
        <w:t xml:space="preserve"> (password errata, oppure email non registrata), con data e ora al secondo. Si filtra per utente, periodo (Dal / Al) e tipo di evento.</w:t>
      </w:r>
    </w:p>
    <w:p>
      <w:pPr>
        <w:pStyle w:val="ListParagraph"/>
        <w:numPr>
          <w:ilvl w:val="0"/>
          <w:numId w:val="21"/>
        </w:numPr>
        <w:spacing w:after="70" w:line="290"/>
      </w:pP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Tutto l'audit trail della persona scelta, o di tutti: data e ora, utente e ruolo, operazione, oggetto (per i documenti anche il nome del file), pratica, passaggio di stato e motivazione. Da ottobre 2026 comprende anche il </w:t>
      </w:r>
      <w:r>
        <w:rPr>
          <w:rFonts w:ascii="Arial" w:cs="Arial" w:eastAsia="Arial" w:hAnsi="Arial"/>
          <w:b/>
          <w:bCs/>
          <w:color w:val="1B2118"/>
          <w:sz w:val="21"/>
          <w:szCs w:val="21"/>
        </w:rPr>
        <w:t xml:space="preserve">download documento</w:t>
      </w:r>
      <w:r>
        <w:rPr>
          <w:rFonts w:ascii="Arial" w:cs="Arial" w:eastAsia="Arial" w:hAnsi="Arial"/>
          <w:color w:val="1B2118"/>
          <w:sz w:val="21"/>
          <w:szCs w:val="21"/>
        </w:rPr>
        <w:t xml:space="preserve">, cioè chi ha scaricato quale documento e quando. Si filtra per utente e periodo e si cerca per testo.</w:t>
      </w:r>
    </w:p>
    <w:p>
      <w:pPr>
        <w:spacing w:after="60"/>
      </w:pPr>
    </w:p>
    <w:p>
      <w:pPr>
        <w:spacing w:after="140" w:line="300"/>
      </w:pPr>
      <w:r>
        <w:rPr>
          <w:rFonts w:ascii="Arial" w:cs="Arial" w:eastAsia="Arial" w:hAnsi="Arial"/>
          <w:b/>
          <w:bCs/>
          <w:color w:val="1B2118"/>
          <w:sz w:val="21"/>
          <w:szCs w:val="21"/>
        </w:rPr>
        <w:t xml:space="preserve">Cosa si registra e cosa no.</w:t>
      </w:r>
      <w:r>
        <w:rPr>
          <w:rFonts w:ascii="Arial" w:cs="Arial" w:eastAsia="Arial" w:hAnsi="Arial"/>
          <w:color w:val="1B2118"/>
          <w:sz w:val="21"/>
          <w:szCs w:val="21"/>
        </w:rPr>
        <w:t xml:space="preserve"> Registri immutabili come l'audit trail: nessuno li modifica o cancella, nemmeno l'Amministratore principale. Non si registrano indirizzi IP. Un accesso fatto senza il portale, per esempio con programmi diversi dal browser, non passa da qui: per quei casi restano i log di Supabase (Authentication → Logs). I tentativi non riusciti si contano al massimo 10 ogni 15 minuti per la stessa email, per non riempire il registro in caso di attacchi. Se l'utente chiude la finestra senza premere Esci non c'è la riga «uscita»: lo stato diventa «Non collegato» dopo circa 2 minuti.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(dal 20/10/2026, collaudo V01): tipo e nome dell'oggetto con il codice breve (le prime 8 cifre del suo identificativo), per esempio </w:t>
      </w:r>
      <w:r>
        <w:rPr>
          <w:rFonts w:ascii="Arial" w:cs="Arial" w:eastAsia="Arial" w:hAnsi="Arial"/>
          <w:i/>
          <w:iCs/>
          <w:color w:val="1B2118"/>
          <w:sz w:val="21"/>
          <w:szCs w:val="21"/>
        </w:rPr>
        <w:t xml:space="preserve">Scenario del simulatore «Obiettivo» (5c3a9e10)</w:t>
      </w:r>
      <w:r>
        <w:rPr>
          <w:rFonts w:ascii="Arial" w:cs="Arial" w:eastAsia="Arial" w:hAnsi="Arial"/>
          <w:color w:val="1B2118"/>
          <w:sz w:val="21"/>
          <w:szCs w:val="21"/>
        </w:rPr>
        <w:t xml:space="preserve">. Per le modifiche, </w:t>
      </w:r>
      <w:r>
        <w:rPr>
          <w:rFonts w:ascii="Arial" w:cs="Arial" w:eastAsia="Arial" w:hAnsi="Arial"/>
          <w:b/>
          <w:bCs/>
          <w:color w:val="1B2118"/>
          <w:sz w:val="21"/>
          <w:szCs w:val="21"/>
        </w:rPr>
        <w:t xml:space="preserve">n modifiche</w:t>
      </w:r>
      <w:r>
        <w:rPr>
          <w:rFonts w:ascii="Arial" w:cs="Arial" w:eastAsia="Arial" w:hAnsi="Arial"/>
          <w:color w:val="1B2118"/>
          <w:sz w:val="21"/>
          <w:szCs w:val="21"/>
        </w:rPr>
        <w:t xml:space="preserve"> si apre con un clic e mostra ogni campo cambiato «da → a»: per gli scenari buffer, popolazione e produzione anno per anno, valore del credito, crediti stimati e ora del ricalcolo. Le stesse informazioni sono nella scheda Operazioni di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e nel suo CSV (colonne «Id oggetto» e «Modifiche»). Gli eventi registrati non cambiano: la pagina li legge e basta.</w:t>
      </w:r>
    </w:p>
    <w:p>
      <w:pPr>
        <w:pStyle w:val="ListParagraph"/>
        <w:numPr>
          <w:ilvl w:val="0"/>
          <w:numId w:val="2"/>
        </w:numPr>
        <w:spacing w:after="70" w:line="290"/>
      </w:pPr>
      <w:r>
        <w:rPr>
          <w:rFonts w:ascii="Arial" w:cs="Arial" w:eastAsia="Arial" w:hAnsi="Arial"/>
          <w:b/>
          <w:bCs/>
          <w:color w:val="1B2118"/>
          <w:sz w:val="21"/>
          <w:szCs w:val="21"/>
        </w:rPr>
        <w:t xml:space="preserve">Testi lunghi</w:t>
      </w:r>
      <w:r>
        <w:rPr>
          <w:rFonts w:ascii="Arial" w:cs="Arial" w:eastAsia="Arial" w:hAnsi="Arial"/>
          <w:color w:val="1B2118"/>
          <w:sz w:val="21"/>
          <w:szCs w:val="21"/>
        </w:rPr>
        <w:t xml:space="preserve"> (dal 21/10/2026, collaudo V05): nella riga un valore lungo resta accorciato con «…», ma accanto compare </w:t>
      </w:r>
      <w:r>
        <w:rPr>
          <w:rFonts w:ascii="Arial" w:cs="Arial" w:eastAsia="Arial" w:hAnsi="Arial"/>
          <w:b/>
          <w:bCs/>
          <w:color w:val="1B2118"/>
          <w:sz w:val="21"/>
          <w:szCs w:val="21"/>
        </w:rPr>
        <w:t xml:space="preserve">Testo completo</w:t>
      </w:r>
      <w:r>
        <w:rPr>
          <w:rFonts w:ascii="Arial" w:cs="Arial" w:eastAsia="Arial" w:hAnsi="Arial"/>
          <w:color w:val="1B2118"/>
          <w:sz w:val="21"/>
          <w:szCs w:val="21"/>
        </w:rPr>
        <w:t xml:space="preserve">, che mostra i valori interi </w:t>
      </w:r>
      <w:r>
        <w:rPr>
          <w:rFonts w:ascii="Arial" w:cs="Arial" w:eastAsia="Arial" w:hAnsi="Arial"/>
          <w:b/>
          <w:bCs/>
          <w:color w:val="1B2118"/>
          <w:sz w:val="21"/>
          <w:szCs w:val="21"/>
        </w:rPr>
        <w:t xml:space="preserve">Prima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Dopo</w:t>
      </w:r>
      <w:r>
        <w:rPr>
          <w:rFonts w:ascii="Arial" w:cs="Arial" w:eastAsia="Arial" w:hAnsi="Arial"/>
          <w:color w:val="1B2118"/>
          <w:sz w:val="21"/>
          <w:szCs w:val="21"/>
        </w:rPr>
        <w:t xml:space="preserve"> (con gli a capo) e la parte </w:t>
      </w:r>
      <w:r>
        <w:rPr>
          <w:rFonts w:ascii="Arial" w:cs="Arial" w:eastAsia="Arial" w:hAnsi="Arial"/>
          <w:b/>
          <w:bCs/>
          <w:color w:val="1B2118"/>
          <w:sz w:val="21"/>
          <w:szCs w:val="21"/>
        </w:rPr>
        <w:t xml:space="preserve">Tolto</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Aggiunto</w:t>
      </w:r>
      <w:r>
        <w:rPr>
          <w:rFonts w:ascii="Arial" w:cs="Arial" w:eastAsia="Arial" w:hAnsi="Arial"/>
          <w:color w:val="1B2118"/>
          <w:sz w:val="21"/>
          <w:szCs w:val="21"/>
        </w:rPr>
        <w:t xml:space="preserve">. Così due note con lo stesso inizio non sembrano più uguali. Nel CSV di Audit User i valori sono interi.</w:t>
      </w:r>
    </w:p>
    <w:p>
      <w:pPr>
        <w:pStyle w:val="ListParagraph"/>
        <w:numPr>
          <w:ilvl w:val="0"/>
          <w:numId w:val="2"/>
        </w:numPr>
        <w:spacing w:after="70" w:line="290"/>
      </w:pPr>
      <w:r>
        <w:rPr>
          <w:rFonts w:ascii="Arial" w:cs="Arial" w:eastAsia="Arial" w:hAnsi="Arial"/>
          <w:color w:val="1B2118"/>
          <w:sz w:val="21"/>
          <w:szCs w:val="21"/>
        </w:rPr>
        <w:t xml:space="preserve">Per le organizzazioni compare la denominazione, per esempio </w:t>
      </w:r>
      <w:r>
        <w:rPr>
          <w:rFonts w:ascii="Arial" w:cs="Arial" w:eastAsia="Arial" w:hAnsi="Arial"/>
          <w:i/>
          <w:iCs/>
          <w:color w:val="1B2118"/>
          <w:sz w:val="21"/>
          <w:szCs w:val="21"/>
        </w:rPr>
        <w:t xml:space="preserve">Organizzazione «COLLAUDO AL V03 - COMUNE B - 20261020» (916f3283)</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oggetto (nome o codice di scenari e organizzazioni), motivazione e anche per il </w:t>
      </w:r>
      <w:r>
        <w:rPr>
          <w:rFonts w:ascii="Arial" w:cs="Arial" w:eastAsia="Arial" w:hAnsi="Arial"/>
          <w:b/>
          <w:bCs/>
          <w:color w:val="1B2118"/>
          <w:sz w:val="21"/>
          <w:szCs w:val="21"/>
        </w:rPr>
        <w:t xml:space="preserve">testo dei valori cambiati</w:t>
      </w:r>
      <w:r>
        <w:rPr>
          <w:rFonts w:ascii="Arial" w:cs="Arial" w:eastAsia="Arial" w:hAnsi="Arial"/>
          <w:color w:val="1B2118"/>
          <w:sz w:val="21"/>
          <w:szCs w:val="21"/>
        </w:rPr>
        <w:t xml:space="preserve"> (per esempio una riga aggiunta a metà di una nota).</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4"/>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sette sezioni: Il Programma (pagina pubblica), metodologie approvate, prezzo di riferimento del credito,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Prezzo di riferimento del credito</w:t>
      </w:r>
    </w:p>
    <w:p>
      <w:pPr>
        <w:spacing w:after="140" w:line="300"/>
      </w:pPr>
      <w:r>
        <w:rPr>
          <w:rFonts w:ascii="Arial" w:cs="Arial" w:eastAsia="Arial" w:hAnsi="Arial"/>
          <w:color w:val="1B2118"/>
          <w:sz w:val="21"/>
          <w:szCs w:val="21"/>
        </w:rPr>
        <w:t xml:space="preserve">Il prezzo in euro (iniziale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credito, come il valore proposto dal Simulatore) con cui la Dashboard dà un valore ai crediti calcolati ed emessi e agli scenari salvati senza valore del credito. Scrivete il nuovo prezzo (0-10.000 €, decimali con la virgola)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la modifica finisce nell'Audit («modifica prezzo di riferimento del credito»). Le vendite usano sempre il valore comunicato dal registro.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6"/>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6"/>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7"/>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8"/>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La Banca Dati Utenze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Banca Dati Utenze per utenza (passo 5a)</w:t>
      </w:r>
    </w:p>
    <w:p>
      <w:pPr>
        <w:spacing w:after="140" w:line="300"/>
      </w:pPr>
      <w:r>
        <w:rPr>
          <w:rFonts w:ascii="Arial" w:cs="Arial" w:eastAsia="Arial" w:hAnsi="Arial"/>
          <w:color w:val="1B2118"/>
          <w:sz w:val="21"/>
          <w:szCs w:val="21"/>
        </w:rPr>
        <w:t xml:space="preserve">Il calcolo dei crediti usa un formato </w:t>
      </w:r>
      <w:r>
        <w:rPr>
          <w:rFonts w:ascii="Arial" w:cs="Arial" w:eastAsia="Arial" w:hAnsi="Arial"/>
          <w:b/>
          <w:bCs/>
          <w:color w:val="1B2118"/>
          <w:sz w:val="21"/>
          <w:szCs w:val="21"/>
        </w:rPr>
        <w:t xml:space="preserve">per utenza</w:t>
      </w:r>
      <w:r>
        <w:rPr>
          <w:rFonts w:ascii="Arial" w:cs="Arial" w:eastAsia="Arial" w:hAnsi="Arial"/>
          <w:color w:val="1B2118"/>
          <w:sz w:val="21"/>
          <w:szCs w:val="21"/>
        </w:rPr>
        <w:t xml:space="preserve">: ogni anno il Comune o il gestore compila il modello </w:t>
      </w:r>
      <w:r>
        <w:rPr>
          <w:rFonts w:ascii="Arial" w:cs="Arial" w:eastAsia="Arial" w:hAnsi="Arial"/>
          <w:b/>
          <w:bCs/>
          <w:color w:val="1B2118"/>
          <w:sz w:val="21"/>
          <w:szCs w:val="21"/>
        </w:rPr>
        <w:t xml:space="preserve">Banca dati utenze CWP</w:t>
      </w:r>
      <w:r>
        <w:rPr>
          <w:rFonts w:ascii="Arial" w:cs="Arial" w:eastAsia="Arial" w:hAnsi="Arial"/>
          <w:color w:val="1B2118"/>
          <w:sz w:val="21"/>
          <w:szCs w:val="21"/>
        </w:rPr>
        <w:t xml:space="preserve"> con l'elenco </w:t>
      </w:r>
      <w:r>
        <w:rPr>
          <w:rFonts w:ascii="Arial" w:cs="Arial" w:eastAsia="Arial" w:hAnsi="Arial"/>
          <w:b/>
          <w:bCs/>
          <w:color w:val="1B2118"/>
          <w:sz w:val="21"/>
          <w:szCs w:val="21"/>
        </w:rPr>
        <w:t xml:space="preserve">completo</w:t>
      </w:r>
      <w:r>
        <w:rPr>
          <w:rFonts w:ascii="Arial" w:cs="Arial" w:eastAsia="Arial" w:hAnsi="Arial"/>
          <w:color w:val="1B2118"/>
          <w:sz w:val="21"/>
          <w:szCs w:val="21"/>
        </w:rPr>
        <w:t xml:space="preserve"> delle utenze dell'anno, domestiche e non domestiche, e lo carica nel calcolo di quell'anno. Nessun dato si riprende dall'anno precedente, perché le utenze cambiano di continuo.</w:t>
      </w:r>
    </w:p>
    <w:p>
      <w:pPr>
        <w:spacing w:after="140" w:line="300"/>
      </w:pPr>
      <w:r>
        <w:rPr>
          <w:rFonts w:ascii="Arial" w:cs="Arial" w:eastAsia="Arial" w:hAnsi="Arial"/>
          <w:b/>
          <w:bCs/>
          <w:color w:val="1B2118"/>
          <w:sz w:val="21"/>
          <w:szCs w:val="21"/>
        </w:rPr>
        <w:t xml:space="preserve">Foglio Utenze_domestiche</w:t>
      </w:r>
      <w:r>
        <w:rPr>
          <w:rFonts w:ascii="Arial" w:cs="Arial" w:eastAsia="Arial" w:hAnsi="Arial"/>
          <w:color w:val="1B2118"/>
          <w:sz w:val="21"/>
          <w:szCs w:val="21"/>
        </w:rPr>
        <w:t xml:space="preserve"> — una riga per ogni utenza domestica attiva nell'anno.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9"/>
        <w:gridCol w:w="1760"/>
        <w:gridCol w:w="3939"/>
      </w:tblGrid>
      <w:tr>
        <w:trPr>
          <w:tblHeader/>
        </w:trPr>
        <w:tc>
          <w:tcPr>
            <w:tcW w:type="dxa" w:w="393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Colonna</w:t>
            </w:r>
          </w:p>
        </w:tc>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Obbligatoria</w:t>
            </w:r>
          </w:p>
        </w:tc>
        <w:tc>
          <w:tcPr>
            <w:tcW w:type="dxa" w:w="393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utenza</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dell'utenza nel sistema del Comune o del gestore (es. codice TARI); unico nel file</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capofamiglia</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 cognome dell'intestatario</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Indirizzo</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Via, numero civico ed eventuale interno</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Categoria tariffaria</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Classe della quota variabile nella delibera TARI (di solito il numero di componenti: 1, 2, … 6 e oltre). Se presente, il portale la propone come </w:t>
            </w:r>
            <w:r>
              <w:rPr>
                <w:rFonts w:ascii="Arial" w:cs="Arial" w:eastAsia="Arial" w:hAnsi="Arial"/>
                <w:b/>
                <w:bCs/>
                <w:color w:val="1B2118"/>
                <w:sz w:val="18"/>
                <w:szCs w:val="18"/>
              </w:rPr>
              <w:t xml:space="preserve">categoria di simulazione</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 componenti</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Componenti del nucleo familiare: colloca l'utenza nella classe della delibera (Kb); se manca si usano i valori medi</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Mq abitazione</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Superficie dell'abitazione in m²</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Produzione totale (kg)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prodotti nell'anno, somma di tutte le frazioni</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Indifferenziato (kg)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residuo dell'anno, anche 0</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Organico, Carta e cartone, Plastica, Vetro, Metallo, Verde, Legno, Tessili, RAEE, Ingombranti, Inerti (kg)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Kg di ciascuna frazione nell'anno; vuoto = frazione non raccolta o non misurata (vuoto è diverso da 0)</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Svuotamenti (una colonna per frazione)</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svuotamenti o conferimenti della frazione nell'anno, intero</w:t>
            </w:r>
          </w:p>
        </w:tc>
      </w:tr>
    </w:tbl>
    <w:p>
      <w:pPr>
        <w:spacing w:after="160"/>
      </w:pPr>
    </w:p>
    <w:p>
      <w:pPr>
        <w:spacing w:after="140" w:line="300"/>
      </w:pPr>
      <w:r>
        <w:rPr>
          <w:rFonts w:ascii="Arial" w:cs="Arial" w:eastAsia="Arial" w:hAnsi="Arial"/>
          <w:b/>
          <w:bCs/>
          <w:color w:val="1B2118"/>
          <w:sz w:val="21"/>
          <w:szCs w:val="21"/>
        </w:rPr>
        <w:t xml:space="preserve">Foglio Utenze_non_domestiche</w:t>
      </w:r>
      <w:r>
        <w:rPr>
          <w:rFonts w:ascii="Arial" w:cs="Arial" w:eastAsia="Arial" w:hAnsi="Arial"/>
          <w:color w:val="1B2118"/>
          <w:sz w:val="21"/>
          <w:szCs w:val="21"/>
        </w:rPr>
        <w:t xml:space="preserve"> — una riga per ogni attività, ente o ufficio. Stesse colonne, con queste differenze: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8"/>
        <w:gridCol w:w="1945"/>
        <w:gridCol w:w="5985"/>
      </w:tblGrid>
      <w:tr>
        <w:trPr>
          <w:tblHeader/>
        </w:trPr>
        <w:tc>
          <w:tcPr>
            <w:tcW w:type="dxa" w:w="170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Colonna</w:t>
            </w:r>
          </w:p>
        </w:tc>
        <w:tc>
          <w:tcPr>
            <w:tcW w:type="dxa" w:w="194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Obbligatoria</w:t>
            </w:r>
          </w:p>
        </w:tc>
        <w:tc>
          <w:tcPr>
            <w:tcW w:type="dxa" w:w="5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Ragione sociale</w:t>
            </w:r>
          </w:p>
        </w:tc>
        <w:tc>
          <w:tcPr>
            <w:tcW w:type="dxa" w:w="1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5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 posto del nome del capofamiglia</w:t>
            </w:r>
          </w:p>
        </w:tc>
      </w:tr>
      <w:tr>
        <w:trPr>
          <w:cantSplit/>
        </w:trPr>
        <w:tc>
          <w:tcPr>
            <w:tcW w:type="dxa" w:w="17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Categoria tariffaria</w:t>
            </w:r>
          </w:p>
        </w:tc>
        <w:tc>
          <w:tcPr>
            <w:tcW w:type="dxa" w:w="1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 ma da compilare se nota</w:t>
            </w:r>
          </w:p>
        </w:tc>
        <w:tc>
          <w:tcPr>
            <w:tcW w:type="dxa" w:w="5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della categoria della delibera TARI (DPR 158/1999, es. 22 = ristoranti; il foglio Categorie ha l'elenco di riferimento). Se presente, il portale la propone come </w:t>
            </w:r>
            <w:r>
              <w:rPr>
                <w:rFonts w:ascii="Arial" w:cs="Arial" w:eastAsia="Arial" w:hAnsi="Arial"/>
                <w:b/>
                <w:bCs/>
                <w:color w:val="1B2118"/>
                <w:sz w:val="18"/>
                <w:szCs w:val="18"/>
              </w:rPr>
              <w:t xml:space="preserve">categoria di simulazione</w:t>
            </w:r>
          </w:p>
        </w:tc>
      </w:tr>
      <w:tr>
        <w:trPr>
          <w:cantSplit/>
        </w:trPr>
        <w:tc>
          <w:tcPr>
            <w:tcW w:type="dxa" w:w="17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Mq locali</w:t>
            </w:r>
          </w:p>
        </w:tc>
        <w:tc>
          <w:tcPr>
            <w:tcW w:type="dxa" w:w="1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5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Superficie tassata dei locali in m² (al posto dei mq dell'abitazione); se manca si usano i valori medi della categoria</w:t>
            </w:r>
          </w:p>
        </w:tc>
      </w:tr>
      <w:tr>
        <w:trPr>
          <w:cantSplit/>
        </w:trPr>
        <w:tc>
          <w:tcPr>
            <w:tcW w:type="dxa" w:w="17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 componenti</w:t>
            </w:r>
          </w:p>
        </w:tc>
        <w:tc>
          <w:tcPr>
            <w:tcW w:type="dxa" w:w="1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5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c'è: vale solo per le domestiche</w:t>
            </w:r>
          </w:p>
        </w:tc>
      </w:tr>
    </w:tbl>
    <w:p>
      <w:pPr>
        <w:spacing w:after="160"/>
      </w:pPr>
    </w:p>
    <w:p>
      <w:pPr>
        <w:spacing w:after="140" w:line="300"/>
      </w:pPr>
      <w:r>
        <w:rPr>
          <w:rFonts w:ascii="Arial" w:cs="Arial" w:eastAsia="Arial" w:hAnsi="Arial"/>
          <w:b/>
          <w:bCs/>
          <w:color w:val="1B2118"/>
          <w:sz w:val="21"/>
          <w:szCs w:val="21"/>
        </w:rPr>
        <w:t xml:space="preserve">Categoria di simulazione.</w:t>
      </w:r>
      <w:r>
        <w:rPr>
          <w:rFonts w:ascii="Arial" w:cs="Arial" w:eastAsia="Arial" w:hAnsi="Arial"/>
          <w:color w:val="1B2118"/>
          <w:sz w:val="21"/>
          <w:szCs w:val="21"/>
        </w:rPr>
        <w:t xml:space="preserve"> Non è nel file: è un campo del portale, per ogni utenza, che dice quale classe o categoria usa il calcolo per i rifiuti attesi. All'arrivo del file il portale la propone uguale alla categoria tariffaria; la Fondazione può cambiarla dal modulo dell'utenza. Le utenze senza categoria tariffaria restano «da assegnare» finché non la si indica.</w:t>
      </w:r>
    </w:p>
    <w:p>
      <w:pPr>
        <w:spacing w:after="140" w:line="300"/>
      </w:pPr>
      <w:r>
        <w:rPr>
          <w:rFonts w:ascii="Arial" w:cs="Arial" w:eastAsia="Arial" w:hAnsi="Arial"/>
          <w:b/>
          <w:bCs/>
          <w:color w:val="1B2118"/>
          <w:sz w:val="21"/>
          <w:szCs w:val="21"/>
        </w:rPr>
        <w:t xml:space="preserve">Regole.</w:t>
      </w:r>
    </w:p>
    <w:p>
      <w:pPr>
        <w:pStyle w:val="ListParagraph"/>
        <w:numPr>
          <w:ilvl w:val="0"/>
          <w:numId w:val="2"/>
        </w:numPr>
        <w:spacing w:after="70" w:line="290"/>
      </w:pPr>
      <w:r>
        <w:rPr>
          <w:rFonts w:ascii="Arial" w:cs="Arial" w:eastAsia="Arial" w:hAnsi="Arial"/>
          <w:color w:val="1B2118"/>
          <w:sz w:val="21"/>
          <w:szCs w:val="21"/>
        </w:rPr>
        <w:t xml:space="preserve">Ogni anno si carica l'</w:t>
      </w:r>
      <w:r>
        <w:rPr>
          <w:rFonts w:ascii="Arial" w:cs="Arial" w:eastAsia="Arial" w:hAnsi="Arial"/>
          <w:b/>
          <w:bCs/>
          <w:color w:val="1B2118"/>
          <w:sz w:val="21"/>
          <w:szCs w:val="21"/>
        </w:rPr>
        <w:t xml:space="preserve">elenco completo</w:t>
      </w:r>
      <w:r>
        <w:rPr>
          <w:rFonts w:ascii="Arial" w:cs="Arial" w:eastAsia="Arial" w:hAnsi="Arial"/>
          <w:color w:val="1B2118"/>
          <w:sz w:val="21"/>
          <w:szCs w:val="21"/>
        </w:rPr>
        <w:t xml:space="preserve"> delle utenze, domestiche e non domestiche: le utenze cambiano di continuo e nessun dato si riprende dall'anno prima.</w:t>
      </w:r>
    </w:p>
    <w:p>
      <w:pPr>
        <w:pStyle w:val="ListParagraph"/>
        <w:numPr>
          <w:ilvl w:val="0"/>
          <w:numId w:val="2"/>
        </w:numPr>
        <w:spacing w:after="70" w:line="290"/>
      </w:pPr>
      <w:r>
        <w:rPr>
          <w:rFonts w:ascii="Arial" w:cs="Arial" w:eastAsia="Arial" w:hAnsi="Arial"/>
          <w:color w:val="1B2118"/>
          <w:sz w:val="21"/>
          <w:szCs w:val="21"/>
        </w:rPr>
        <w:t xml:space="preserve">Numeri senza unità di misura; decimali con la virgola.</w:t>
      </w:r>
    </w:p>
    <w:p>
      <w:pPr>
        <w:pStyle w:val="ListParagraph"/>
        <w:numPr>
          <w:ilvl w:val="0"/>
          <w:numId w:val="2"/>
        </w:numPr>
        <w:spacing w:after="70" w:line="290"/>
      </w:pPr>
      <w:r>
        <w:rPr>
          <w:rFonts w:ascii="Arial" w:cs="Arial" w:eastAsia="Arial" w:hAnsi="Arial"/>
          <w:color w:val="1B2118"/>
          <w:sz w:val="21"/>
          <w:szCs w:val="21"/>
        </w:rPr>
        <w:t xml:space="preserve">La produzione totale deve corrispondere alla somma delle frazioni: il portale segnala le differenze oltre l'1%.</w:t>
      </w:r>
    </w:p>
    <w:p>
      <w:pPr>
        <w:pStyle w:val="ListParagraph"/>
        <w:numPr>
          <w:ilvl w:val="0"/>
          <w:numId w:val="2"/>
        </w:numPr>
        <w:spacing w:after="70" w:line="290"/>
      </w:pPr>
      <w:r>
        <w:rPr>
          <w:rFonts w:ascii="Arial" w:cs="Arial" w:eastAsia="Arial" w:hAnsi="Arial"/>
          <w:color w:val="1B2118"/>
          <w:sz w:val="21"/>
          <w:szCs w:val="21"/>
        </w:rPr>
        <w:t xml:space="preserve">Oltre 1 milione di righe o 50 MB: un CSV per foglio, con lo stesso nome, dentro uno ZIP.</w:t>
      </w:r>
    </w:p>
    <w:p>
      <w:pPr>
        <w:spacing w:after="140" w:line="30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Questo modello contiene nomi e indirizzi, a differenza del tracciato attuale. Nel portale li vedono solo Operatori e Amministratori. Ogni consultazione dell'elenco finisce nell'Audit («consultazione utenze»), così come ogni caricamento («caricamento utenze», con il solo numero di utenze) e ogni cancellazione. Nomi e indirizzi non compaiono nei rapporti di calcolo, nei fascicoli né nelle pagine pubbliche. Prima dell'uso con dati reali servono la valutazione d'impatto (DPIA) e l'accordo sul trattamento con ogni Comune.</w:t>
      </w:r>
    </w:p>
    <w:p>
      <w:pPr>
        <w:spacing w:after="140" w:line="300"/>
      </w:pPr>
      <w:r>
        <w:rPr>
          <w:rFonts w:ascii="Arial" w:cs="Arial" w:eastAsia="Arial" w:hAnsi="Arial"/>
          <w:b/>
          <w:bCs/>
          <w:color w:val="1B2118"/>
          <w:sz w:val="21"/>
          <w:szCs w:val="21"/>
        </w:rPr>
        <w:t xml:space="preserve">Gestire le utenze nel portale.</w:t>
      </w:r>
      <w:r>
        <w:rPr>
          <w:rFonts w:ascii="Arial" w:cs="Arial" w:eastAsia="Arial" w:hAnsi="Arial"/>
          <w:color w:val="1B2118"/>
          <w:sz w:val="21"/>
          <w:szCs w:val="21"/>
        </w:rPr>
        <w:t xml:space="preserve"> Nel calcolo aprite il passo </w:t>
      </w:r>
      <w:r>
        <w:rPr>
          <w:rFonts w:ascii="Arial" w:cs="Arial" w:eastAsia="Arial" w:hAnsi="Arial"/>
          <w:b/>
          <w:bCs/>
          <w:color w:val="1B2118"/>
          <w:sz w:val="21"/>
          <w:szCs w:val="21"/>
        </w:rPr>
        <w:t xml:space="preserve">5a. Utenze del calcolo</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In alto tre riquadri: utenze domestiche, non domestiche e utenze </w:t>
      </w:r>
      <w:r>
        <w:rPr>
          <w:rFonts w:ascii="Arial" w:cs="Arial" w:eastAsia="Arial" w:hAnsi="Arial"/>
          <w:b/>
          <w:bCs/>
          <w:color w:val="1B2118"/>
          <w:sz w:val="21"/>
          <w:szCs w:val="21"/>
        </w:rPr>
        <w:t xml:space="preserve">senza categoria di simulazione</w:t>
      </w:r>
      <w:r>
        <w:rPr>
          <w:rFonts w:ascii="Arial" w:cs="Arial" w:eastAsia="Arial" w:hAnsi="Arial"/>
          <w:color w:val="1B2118"/>
          <w:sz w:val="21"/>
          <w:szCs w:val="21"/>
        </w:rPr>
        <w:t xml:space="preserve"> (arancione se ce ne sono).</w:t>
      </w:r>
    </w:p>
    <w:p>
      <w:pPr>
        <w:pStyle w:val="ListParagraph"/>
        <w:numPr>
          <w:ilvl w:val="0"/>
          <w:numId w:val="29"/>
        </w:numPr>
        <w:spacing w:after="70" w:line="290"/>
      </w:pPr>
      <w:r>
        <w:rPr>
          <w:rFonts w:ascii="Arial" w:cs="Arial" w:eastAsia="Arial" w:hAnsi="Arial"/>
          <w:b/>
          <w:bCs/>
          <w:color w:val="1B2118"/>
          <w:sz w:val="21"/>
          <w:szCs w:val="21"/>
        </w:rPr>
        <w:t xml:space="preserve">Carica il file dell'anno</w:t>
      </w:r>
      <w:r>
        <w:rPr>
          <w:rFonts w:ascii="Arial" w:cs="Arial" w:eastAsia="Arial" w:hAnsi="Arial"/>
          <w:color w:val="1B2118"/>
          <w:sz w:val="21"/>
          <w:szCs w:val="21"/>
        </w:rPr>
        <w:t xml:space="preserve"> e scegliete il file compilato (Excel, oppure ZIP di CSV). Il portale mostra l'anteprima: numero di utenze, eventuali </w:t>
      </w:r>
      <w:r>
        <w:rPr>
          <w:rFonts w:ascii="Arial" w:cs="Arial" w:eastAsia="Arial" w:hAnsi="Arial"/>
          <w:b/>
          <w:bCs/>
          <w:color w:val="1B2118"/>
          <w:sz w:val="21"/>
          <w:szCs w:val="21"/>
        </w:rPr>
        <w:t xml:space="preserve">errori</w:t>
      </w:r>
      <w:r>
        <w:rPr>
          <w:rFonts w:ascii="Arial" w:cs="Arial" w:eastAsia="Arial" w:hAnsi="Arial"/>
          <w:color w:val="1B2118"/>
          <w:sz w:val="21"/>
          <w:szCs w:val="21"/>
        </w:rPr>
        <w:t xml:space="preserve"> (foglio, riga e codice; con un errore il file non si carica e l'elenco attuale non cambia) e </w:t>
      </w:r>
      <w:r>
        <w:rPr>
          <w:rFonts w:ascii="Arial" w:cs="Arial" w:eastAsia="Arial" w:hAnsi="Arial"/>
          <w:b/>
          <w:bCs/>
          <w:color w:val="1B2118"/>
          <w:sz w:val="21"/>
          <w:szCs w:val="21"/>
        </w:rPr>
        <w:t xml:space="preserve">avvisi</w:t>
      </w:r>
      <w:r>
        <w:rPr>
          <w:rFonts w:ascii="Arial" w:cs="Arial" w:eastAsia="Arial" w:hAnsi="Arial"/>
          <w:color w:val="1B2118"/>
          <w:sz w:val="21"/>
          <w:szCs w:val="21"/>
        </w:rPr>
        <w:t xml:space="preserve"> (produzione totale diversa dalla somma delle frazioni, utenze senza categoria). Premete </w:t>
      </w:r>
      <w:r>
        <w:rPr>
          <w:rFonts w:ascii="Arial" w:cs="Arial" w:eastAsia="Arial" w:hAnsi="Arial"/>
          <w:b/>
          <w:bCs/>
          <w:color w:val="1B2118"/>
          <w:sz w:val="21"/>
          <w:szCs w:val="21"/>
        </w:rPr>
        <w:t xml:space="preserve">Sostituisci l'elenco</w:t>
      </w:r>
      <w:r>
        <w:rPr>
          <w:rFonts w:ascii="Arial" w:cs="Arial" w:eastAsia="Arial" w:hAnsi="Arial"/>
          <w:color w:val="1B2118"/>
          <w:sz w:val="21"/>
          <w:szCs w:val="21"/>
        </w:rPr>
        <w:t xml:space="preserve">: le utenze precedenti del calcolo sono tolte e sostituite da quelle del file.</w:t>
      </w:r>
    </w:p>
    <w:p>
      <w:pPr>
        <w:pStyle w:val="ListParagraph"/>
        <w:numPr>
          <w:ilvl w:val="0"/>
          <w:numId w:val="29"/>
        </w:numPr>
        <w:spacing w:after="70" w:line="290"/>
      </w:pPr>
      <w:r>
        <w:rPr>
          <w:rFonts w:ascii="Arial" w:cs="Arial" w:eastAsia="Arial" w:hAnsi="Arial"/>
          <w:color w:val="1B2118"/>
          <w:sz w:val="21"/>
          <w:szCs w:val="21"/>
        </w:rPr>
        <w:t xml:space="preserve">Le schede </w:t>
      </w:r>
      <w:r>
        <w:rPr>
          <w:rFonts w:ascii="Arial" w:cs="Arial" w:eastAsia="Arial" w:hAnsi="Arial"/>
          <w:b/>
          <w:bCs/>
          <w:color w:val="1B2118"/>
          <w:sz w:val="21"/>
          <w:szCs w:val="21"/>
        </w:rPr>
        <w:t xml:space="preserve">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Utenze non domestiche</w:t>
      </w:r>
      <w:r>
        <w:rPr>
          <w:rFonts w:ascii="Arial" w:cs="Arial" w:eastAsia="Arial" w:hAnsi="Arial"/>
          <w:color w:val="1B2118"/>
          <w:sz w:val="21"/>
          <w:szCs w:val="21"/>
        </w:rPr>
        <w:t xml:space="preserve"> mostrano l'elenco, 50 per pagina, con codice, nome o ragione sociale, indirizzo, categoria tariffaria e di simulazione («da assegnare» se manca), componenti o mq, produzione totale (con «≠ somma» se non corrisponde alle frazioni), indifferenziato e percentuale di differenziata.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trova per codice, nome, indirizzo o categoria.</w:t>
      </w:r>
    </w:p>
    <w:p>
      <w:pPr>
        <w:pStyle w:val="ListParagraph"/>
        <w:numPr>
          <w:ilvl w:val="0"/>
          <w:numId w:val="29"/>
        </w:numPr>
        <w:spacing w:after="70" w:line="290"/>
      </w:pPr>
      <w:r>
        <w:rPr>
          <w:rFonts w:ascii="Arial" w:cs="Arial" w:eastAsia="Arial" w:hAnsi="Arial"/>
          <w:color w:val="1B2118"/>
          <w:sz w:val="21"/>
          <w:szCs w:val="21"/>
        </w:rPr>
        <w:t xml:space="preserve">Toccate il </w:t>
      </w:r>
      <w:r>
        <w:rPr>
          <w:rFonts w:ascii="Arial" w:cs="Arial" w:eastAsia="Arial" w:hAnsi="Arial"/>
          <w:b/>
          <w:bCs/>
          <w:color w:val="1B2118"/>
          <w:sz w:val="21"/>
          <w:szCs w:val="21"/>
        </w:rPr>
        <w:t xml:space="preserve">codice</w:t>
      </w:r>
      <w:r>
        <w:rPr>
          <w:rFonts w:ascii="Arial" w:cs="Arial" w:eastAsia="Arial" w:hAnsi="Arial"/>
          <w:color w:val="1B2118"/>
          <w:sz w:val="21"/>
          <w:szCs w:val="21"/>
        </w:rPr>
        <w:t xml:space="preserve"> di un'utenza per aprire il suo modulo: tutti i campi, le frazioni con kg e svuotamenti, gli errori e gli avvisi in fondo. La </w:t>
      </w:r>
      <w:r>
        <w:rPr>
          <w:rFonts w:ascii="Arial" w:cs="Arial" w:eastAsia="Arial" w:hAnsi="Arial"/>
          <w:b/>
          <w:bCs/>
          <w:color w:val="1B2118"/>
          <w:sz w:val="21"/>
          <w:szCs w:val="21"/>
        </w:rPr>
        <w:t xml:space="preserve">categoria di simulazione</w:t>
      </w:r>
      <w:r>
        <w:rPr>
          <w:rFonts w:ascii="Arial" w:cs="Arial" w:eastAsia="Arial" w:hAnsi="Arial"/>
          <w:color w:val="1B2118"/>
          <w:sz w:val="21"/>
          <w:szCs w:val="21"/>
        </w:rPr>
        <w:t xml:space="preserve"> segue la tariffaria finché non la cambiate a mano. Il pulsante </w:t>
      </w:r>
      <w:r>
        <w:rPr>
          <w:rFonts w:ascii="Arial" w:cs="Arial" w:eastAsia="Arial" w:hAnsi="Arial"/>
          <w:b/>
          <w:bCs/>
          <w:color w:val="1B2118"/>
          <w:sz w:val="21"/>
          <w:szCs w:val="21"/>
        </w:rPr>
        <w:t xml:space="preserve">= somma delle frazioni</w:t>
      </w:r>
      <w:r>
        <w:rPr>
          <w:rFonts w:ascii="Arial" w:cs="Arial" w:eastAsia="Arial" w:hAnsi="Arial"/>
          <w:color w:val="1B2118"/>
          <w:sz w:val="21"/>
          <w:szCs w:val="21"/>
        </w:rPr>
        <w:t xml:space="preserve"> riporta la produzione totale alla somma.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Elimina utenza</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b/>
          <w:bCs/>
          <w:color w:val="1B2118"/>
          <w:sz w:val="21"/>
          <w:szCs w:val="21"/>
        </w:rPr>
        <w:t xml:space="preserve">+ Nuova utenza domestica / non domestica</w:t>
      </w:r>
      <w:r>
        <w:rPr>
          <w:rFonts w:ascii="Arial" w:cs="Arial" w:eastAsia="Arial" w:hAnsi="Arial"/>
          <w:color w:val="1B2118"/>
          <w:sz w:val="21"/>
          <w:szCs w:val="21"/>
        </w:rPr>
        <w:t xml:space="preserve"> apre lo stesso modulo vuoto. </w:t>
      </w:r>
      <w:r>
        <w:rPr>
          <w:rFonts w:ascii="Arial" w:cs="Arial" w:eastAsia="Arial" w:hAnsi="Arial"/>
          <w:b/>
          <w:bCs/>
          <w:color w:val="1B2118"/>
          <w:sz w:val="21"/>
          <w:szCs w:val="21"/>
        </w:rPr>
        <w:t xml:space="preserve">Svuota l'elenco</w:t>
      </w:r>
      <w:r>
        <w:rPr>
          <w:rFonts w:ascii="Arial" w:cs="Arial" w:eastAsia="Arial" w:hAnsi="Arial"/>
          <w:color w:val="1B2118"/>
          <w:sz w:val="21"/>
          <w:szCs w:val="21"/>
        </w:rPr>
        <w:t xml:space="preserve"> toglie tutte le utenze.</w:t>
      </w:r>
    </w:p>
    <w:p>
      <w:pPr>
        <w:spacing w:after="60"/>
      </w:pPr>
    </w:p>
    <w:p>
      <w:pPr>
        <w:spacing w:after="140" w:line="300"/>
      </w:pPr>
      <w:r>
        <w:rPr>
          <w:rFonts w:ascii="Arial" w:cs="Arial" w:eastAsia="Arial" w:hAnsi="Arial"/>
          <w:color w:val="1B2118"/>
          <w:sz w:val="21"/>
          <w:szCs w:val="21"/>
        </w:rPr>
        <w:t xml:space="preserve">Ogni modifica azzera il risultato della bozza (va premuto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In un calcolo confermato il passo è in sola lettura. Nell'</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le operazioni compaiono come «caricamento utenze» (con il numero di utenze), «consultazione utenze» (con la ricerca), «inserimento», «modifica» e «cancellazione utenza» (con il codice e i campi cambiati), senza nomi né indirizzi.</w:t>
      </w:r>
    </w:p>
    <w:p>
      <w:pPr>
        <w:spacing w:after="140" w:line="300"/>
      </w:pPr>
      <w:r>
        <w:rPr>
          <w:rFonts w:ascii="Arial" w:cs="Arial" w:eastAsia="Arial" w:hAnsi="Arial"/>
          <w:b/>
          <w:bCs/>
          <w:color w:val="1B2118"/>
          <w:sz w:val="21"/>
          <w:szCs w:val="21"/>
        </w:rPr>
        <w:t xml:space="preserve">Calcolo di prova.</w:t>
      </w:r>
      <w:r>
        <w:rPr>
          <w:rFonts w:ascii="Arial" w:cs="Arial" w:eastAsia="Arial" w:hAnsi="Arial"/>
          <w:color w:val="1B2118"/>
          <w:sz w:val="21"/>
          <w:szCs w:val="21"/>
        </w:rPr>
        <w:t xml:space="preserve"> Dal 22/10/2026 c'è il calcolo «PROVA Banca Dati Utenze - dati casuali (non confermare)» sul Progetto CWP-2026-003, con 20 utenze domestiche e 20 non domestiche inventate (codici PROVA-…): serve a provare il passo 5a e si può eliminare quando non serve più.</w:t>
      </w:r>
    </w:p>
    <w:p>
      <w:pPr>
        <w:spacing w:after="140" w:line="300"/>
      </w:pPr>
      <w:r>
        <w:rPr>
          <w:rFonts w:ascii="Arial" w:cs="Arial" w:eastAsia="Arial" w:hAnsi="Arial"/>
          <w:b/>
          <w:bCs/>
          <w:color w:val="1B2118"/>
          <w:sz w:val="21"/>
          <w:szCs w:val="21"/>
        </w:rPr>
        <w:t xml:space="preserve">Come «Calcola» usa le utenze (dal 23/10/2026).</w:t>
      </w:r>
      <w:r>
        <w:rPr>
          <w:rFonts w:ascii="Arial" w:cs="Arial" w:eastAsia="Arial" w:hAnsi="Arial"/>
          <w:color w:val="1B2118"/>
          <w:sz w:val="21"/>
          <w:szCs w:val="21"/>
        </w:rPr>
        <w:t xml:space="preserve"> Se il calcolo ha utenze nel passo 5a, il motore usa quelle; i conferimenti del passo </w:t>
      </w:r>
      <w:r>
        <w:rPr>
          <w:rFonts w:ascii="Arial" w:cs="Arial" w:eastAsia="Arial" w:hAnsi="Arial"/>
          <w:b/>
          <w:bCs/>
          <w:color w:val="1B2118"/>
          <w:sz w:val="21"/>
          <w:szCs w:val="21"/>
        </w:rPr>
        <w:t xml:space="preserve">5b. Conferimenti (tracciato)</w:t>
      </w:r>
      <w:r>
        <w:rPr>
          <w:rFonts w:ascii="Arial" w:cs="Arial" w:eastAsia="Arial" w:hAnsi="Arial"/>
          <w:color w:val="1B2118"/>
          <w:sz w:val="21"/>
          <w:szCs w:val="21"/>
        </w:rPr>
        <w:t xml:space="preserve"> valgono solo per i calcoli senza utenze (il 5b lo ricorda con un riquadro arancione). I beni a riuso vengono sempre dal passo 5b.</w:t>
      </w:r>
    </w:p>
    <w:p>
      <w:pPr>
        <w:pStyle w:val="ListParagraph"/>
        <w:numPr>
          <w:ilvl w:val="0"/>
          <w:numId w:val="30"/>
        </w:numPr>
        <w:spacing w:after="70" w:line="290"/>
      </w:pPr>
      <w:r>
        <w:rPr>
          <w:rFonts w:ascii="Arial" w:cs="Arial" w:eastAsia="Arial" w:hAnsi="Arial"/>
          <w:color w:val="1B2118"/>
          <w:sz w:val="21"/>
          <w:szCs w:val="21"/>
        </w:rPr>
        <w:t xml:space="preserve">Ogni utenza va nella classe della </w:t>
      </w:r>
      <w:r>
        <w:rPr>
          <w:rFonts w:ascii="Arial" w:cs="Arial" w:eastAsia="Arial" w:hAnsi="Arial"/>
          <w:b/>
          <w:bCs/>
          <w:color w:val="1B2118"/>
          <w:sz w:val="21"/>
          <w:szCs w:val="21"/>
        </w:rPr>
        <w:t xml:space="preserve">delibera</w:t>
      </w:r>
      <w:r>
        <w:rPr>
          <w:rFonts w:ascii="Arial" w:cs="Arial" w:eastAsia="Arial" w:hAnsi="Arial"/>
          <w:color w:val="1B2118"/>
          <w:sz w:val="21"/>
          <w:szCs w:val="21"/>
        </w:rPr>
        <w:t xml:space="preserve"> (passo 3) indicata dalla sua </w:t>
      </w:r>
      <w:r>
        <w:rPr>
          <w:rFonts w:ascii="Arial" w:cs="Arial" w:eastAsia="Arial" w:hAnsi="Arial"/>
          <w:b/>
          <w:bCs/>
          <w:color w:val="1B2118"/>
          <w:sz w:val="21"/>
          <w:szCs w:val="21"/>
        </w:rPr>
        <w:t xml:space="preserve">categoria di simulazione</w:t>
      </w:r>
      <w:r>
        <w:rPr>
          <w:rFonts w:ascii="Arial" w:cs="Arial" w:eastAsia="Arial" w:hAnsi="Arial"/>
          <w:color w:val="1B2118"/>
          <w:sz w:val="21"/>
          <w:szCs w:val="21"/>
        </w:rPr>
        <w:t xml:space="preserve">: da lì prende i rifiuti attesi. Le categorie devono essere scritte come le classi della delibera (es. «2» e non «2 componenti»).</w:t>
      </w:r>
    </w:p>
    <w:p>
      <w:pPr>
        <w:pStyle w:val="ListParagraph"/>
        <w:numPr>
          <w:ilvl w:val="0"/>
          <w:numId w:val="30"/>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kg</w:t>
      </w:r>
      <w:r>
        <w:rPr>
          <w:rFonts w:ascii="Arial" w:cs="Arial" w:eastAsia="Arial" w:hAnsi="Arial"/>
          <w:color w:val="1B2118"/>
          <w:sz w:val="21"/>
          <w:szCs w:val="21"/>
        </w:rPr>
        <w:t xml:space="preserve"> di ogni frazione sono i rifiuti prodotti dall'utenza e si usano così come sono; gli svuotamenti sono solo informativi.</w:t>
      </w:r>
    </w:p>
    <w:p>
      <w:pPr>
        <w:pStyle w:val="ListParagraph"/>
        <w:numPr>
          <w:ilvl w:val="0"/>
          <w:numId w:val="30"/>
        </w:numPr>
        <w:spacing w:after="70" w:line="290"/>
      </w:pPr>
      <w:r>
        <w:rPr>
          <w:rFonts w:ascii="Arial" w:cs="Arial" w:eastAsia="Arial" w:hAnsi="Arial"/>
          <w:color w:val="1B2118"/>
          <w:sz w:val="21"/>
          <w:szCs w:val="21"/>
        </w:rPr>
        <w:t xml:space="preserve">Per ogni utenza contano solo le frazioni con un valore, anche 0. Una frazione lasciata vuota non entra nel calcolo di quell'utenza (né nei rifiuti attesi né in quelli prodotti).</w:t>
      </w:r>
    </w:p>
    <w:p>
      <w:pPr>
        <w:pStyle w:val="ListParagraph"/>
        <w:numPr>
          <w:ilvl w:val="0"/>
          <w:numId w:val="30"/>
        </w:numPr>
        <w:spacing w:after="70" w:line="290"/>
      </w:pPr>
      <w:r>
        <w:rPr>
          <w:rFonts w:ascii="Arial" w:cs="Arial" w:eastAsia="Arial" w:hAnsi="Arial"/>
          <w:color w:val="1B2118"/>
          <w:sz w:val="21"/>
          <w:szCs w:val="21"/>
        </w:rPr>
        <w:t xml:space="preserve">Le utenze </w:t>
      </w:r>
      <w:r>
        <w:rPr>
          <w:rFonts w:ascii="Arial" w:cs="Arial" w:eastAsia="Arial" w:hAnsi="Arial"/>
          <w:b/>
          <w:bCs/>
          <w:color w:val="1B2118"/>
          <w:sz w:val="21"/>
          <w:szCs w:val="21"/>
        </w:rPr>
        <w:t xml:space="preserve">senza categoria di simulazione</w:t>
      </w:r>
      <w:r>
        <w:rPr>
          <w:rFonts w:ascii="Arial" w:cs="Arial" w:eastAsia="Arial" w:hAnsi="Arial"/>
          <w:color w:val="1B2118"/>
          <w:sz w:val="21"/>
          <w:szCs w:val="21"/>
        </w:rPr>
        <w:t xml:space="preserve"> o con una categoria che </w:t>
      </w:r>
      <w:r>
        <w:rPr>
          <w:rFonts w:ascii="Arial" w:cs="Arial" w:eastAsia="Arial" w:hAnsi="Arial"/>
          <w:b/>
          <w:bCs/>
          <w:color w:val="1B2118"/>
          <w:sz w:val="21"/>
          <w:szCs w:val="21"/>
        </w:rPr>
        <w:t xml:space="preserve">non è nella delibera</w:t>
      </w:r>
      <w:r>
        <w:rPr>
          <w:rFonts w:ascii="Arial" w:cs="Arial" w:eastAsia="Arial" w:hAnsi="Arial"/>
          <w:color w:val="1B2118"/>
          <w:sz w:val="21"/>
          <w:szCs w:val="21"/>
        </w:rPr>
        <w:t xml:space="preserve"> restano fuori dal calcolo.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(in fondo al passo 5a e nei Risultati) le segnalano in rosso, i Risultati dicono quante sono state escluse e il calcolo </w:t>
      </w:r>
      <w:r>
        <w:rPr>
          <w:rFonts w:ascii="Arial" w:cs="Arial" w:eastAsia="Arial" w:hAnsi="Arial"/>
          <w:b/>
          <w:bCs/>
          <w:color w:val="1B2118"/>
          <w:sz w:val="21"/>
          <w:szCs w:val="21"/>
        </w:rPr>
        <w:t xml:space="preserve">non si può confermare</w:t>
      </w:r>
      <w:r>
        <w:rPr>
          <w:rFonts w:ascii="Arial" w:cs="Arial" w:eastAsia="Arial" w:hAnsi="Arial"/>
          <w:color w:val="1B2118"/>
          <w:sz w:val="21"/>
          <w:szCs w:val="21"/>
        </w:rPr>
        <w:t xml:space="preserve"> finché non le correggete dal modulo dell'utenza (o non aggiungete la classe nel passo 3).</w:t>
      </w:r>
    </w:p>
    <w:p>
      <w:pPr>
        <w:pStyle w:val="ListParagraph"/>
        <w:numPr>
          <w:ilvl w:val="0"/>
          <w:numId w:val="30"/>
        </w:numPr>
        <w:spacing w:after="70" w:line="290"/>
      </w:pPr>
      <w:r>
        <w:rPr>
          <w:rFonts w:ascii="Arial" w:cs="Arial" w:eastAsia="Arial" w:hAnsi="Arial"/>
          <w:color w:val="1B2118"/>
          <w:sz w:val="21"/>
          <w:szCs w:val="21"/>
        </w:rPr>
        <w:t xml:space="preserve">Se cambiate le utenze dopo «Calcola», il risultato si azzera: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prima di confermare (il database rifiuta la conferma se le utenze non sono quelle usate dal calcolo).</w:t>
      </w:r>
    </w:p>
    <w:p>
      <w:pPr>
        <w:spacing w:after="60"/>
      </w:pPr>
    </w:p>
    <w:p>
      <w:pPr>
        <w:spacing w:after="140" w:line="300"/>
      </w:pPr>
      <w:r>
        <w:rPr>
          <w:rFonts w:ascii="Arial" w:cs="Arial" w:eastAsia="Arial" w:hAnsi="Arial"/>
          <w:color w:val="1B2118"/>
          <w:sz w:val="21"/>
          <w:szCs w:val="21"/>
        </w:rPr>
        <w:t xml:space="preserve">Nei </w:t>
      </w:r>
      <w:r>
        <w:rPr>
          <w:rFonts w:ascii="Arial" w:cs="Arial" w:eastAsia="Arial" w:hAnsi="Arial"/>
          <w:b/>
          <w:bCs/>
          <w:color w:val="1B2118"/>
          <w:sz w:val="21"/>
          <w:szCs w:val="21"/>
        </w:rPr>
        <w:t xml:space="preserve">Risultati</w:t>
      </w:r>
      <w:r>
        <w:rPr>
          <w:rFonts w:ascii="Arial" w:cs="Arial" w:eastAsia="Arial" w:hAnsi="Arial"/>
          <w:color w:val="1B2118"/>
          <w:sz w:val="21"/>
          <w:szCs w:val="21"/>
        </w:rPr>
        <w:t xml:space="preserve"> una riga indica la Banca Dati usata («utenze del passo 5a» o «conferimenti del tracciato»); lo stesso compare nel CSV di riepilogo e nel rapporto PDF. Il dettaglio per utenza contiene solo i codici, non nomi né indirizzi.</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31"/>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3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32"/>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con tutte le frazioni a recupero che hanno quantità e fattore. Nei risultati e nel rapporto PDF compaiono quota, tonnellate e fattore di ogni frazione usata, le tipologie oltre le cinque nominate al capitolo 5 della Metodologia (organico, carta e cartone, vetro, plastica, tessili), con la nota «paniere in attesa di conferma della Fondazione», e quelle escluse perché senza fattore.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b/>
          <w:bCs/>
          <w:color w:val="1B2118"/>
          <w:sz w:val="21"/>
          <w:szCs w:val="21"/>
        </w:rPr>
        <w:t xml:space="preserve">Tutto o niente (dal 20/10/2026, collaudo V01).</w:t>
      </w:r>
      <w:r>
        <w:rPr>
          <w:rFonts w:ascii="Arial" w:cs="Arial" w:eastAsia="Arial" w:hAnsi="Arial"/>
          <w:color w:val="1B2118"/>
          <w:sz w:val="21"/>
          <w:szCs w:val="21"/>
        </w:rPr>
        <w:t xml:space="preserve"> Prima di salvare il portale controlla ogni riga del file. Basta una riga con un errore perché il file </w:t>
      </w:r>
      <w:r>
        <w:rPr>
          <w:rFonts w:ascii="Arial" w:cs="Arial" w:eastAsia="Arial" w:hAnsi="Arial"/>
          <w:b/>
          <w:bCs/>
          <w:color w:val="1B2118"/>
          <w:sz w:val="21"/>
          <w:szCs w:val="21"/>
        </w:rPr>
        <w:t xml:space="preserve">non venga importato</w:t>
      </w:r>
      <w:r>
        <w:rPr>
          <w:rFonts w:ascii="Arial" w:cs="Arial" w:eastAsia="Arial" w:hAnsi="Arial"/>
          <w:color w:val="1B2118"/>
          <w:sz w:val="21"/>
          <w:szCs w:val="21"/>
        </w:rPr>
        <w:t xml:space="preserve"> e la Banca Dati salvata resti quella di prima. Sono errori: un </w:t>
      </w:r>
      <w:r>
        <w:rPr>
          <w:rFonts w:ascii="Arial" w:cs="Arial" w:eastAsia="Arial" w:hAnsi="Arial"/>
          <w:b/>
          <w:bCs/>
          <w:color w:val="1B2118"/>
          <w:sz w:val="21"/>
          <w:szCs w:val="21"/>
        </w:rPr>
        <w:t xml:space="preserve">valore negativo</w:t>
      </w:r>
      <w:r>
        <w:rPr>
          <w:rFonts w:ascii="Arial" w:cs="Arial" w:eastAsia="Arial" w:hAnsi="Arial"/>
          <w:color w:val="1B2118"/>
          <w:sz w:val="21"/>
          <w:szCs w:val="21"/>
        </w:rPr>
        <w:t xml:space="preserve"> (svuotamenti, volumi, pesi, pezzi, N. utenze), un testo al posto di un numero, un dato obbligatorio mancante, una macrocategoria o una tipologia non riconosciute. Il messaggio «File non importato: n righe da correggere» indica le prime righe con il motivo. Zero e celle vuote restano ammessi. Le stesse regole valgono nel salvataggio e nel database (script 35).</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buffer indicato a mano</w:t>
      </w:r>
      <w:r>
        <w:rPr>
          <w:rFonts w:ascii="Arial" w:cs="Arial" w:eastAsia="Arial" w:hAnsi="Arial"/>
          <w:color w:val="1B2118"/>
          <w:sz w:val="21"/>
          <w:szCs w:val="21"/>
        </w:rPr>
        <w:t xml:space="preserve"> deve essere un numero tra 0 e 80%: fuori da questo intervallo il calcolo si blocca con un messaggio (prima il valore veniva tagliato a 80 senza avviso).</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bloccato.</w:t>
      </w:r>
      <w:r>
        <w:rPr>
          <w:rFonts w:ascii="Arial" w:cs="Arial" w:eastAsia="Arial" w:hAnsi="Arial"/>
          <w:color w:val="1B2118"/>
          <w:sz w:val="21"/>
          <w:szCs w:val="21"/>
        </w:rPr>
        <w:t xml:space="preserve"> Con dati impossibili (valori negativi nella Banca Dati, quantità negative dei rifiuti, data di avvio inesistente come 31/02, buffer fuori da 0-80%) compare il riquadro rosso </w:t>
      </w:r>
      <w:r>
        <w:rPr>
          <w:rFonts w:ascii="Arial" w:cs="Arial" w:eastAsia="Arial" w:hAnsi="Arial"/>
          <w:b/>
          <w:bCs/>
          <w:color w:val="1B2118"/>
          <w:sz w:val="21"/>
          <w:szCs w:val="21"/>
        </w:rPr>
        <w:t xml:space="preserve">«Calcolo bloccato: dati non ammessi»</w:t>
      </w:r>
      <w:r>
        <w:rPr>
          <w:rFonts w:ascii="Arial" w:cs="Arial" w:eastAsia="Arial" w:hAnsi="Arial"/>
          <w:color w:val="1B2118"/>
          <w:sz w:val="21"/>
          <w:szCs w:val="21"/>
        </w:rPr>
        <w:t xml:space="preserve"> con l'elenco degli errori. Crediti e debito valgono zero, il risultato non si salva e, se ce n'era uno salvato, viene tolto: il calcolo non si può confermare finché non si correggono i dati e si preme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33"/>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33"/>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33"/>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34"/>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Il pulsante è attivo solo se gli scostamenti oltre il 30% sono motivati </w:t>
      </w:r>
      <w:r>
        <w:rPr>
          <w:rFonts w:ascii="Arial" w:cs="Arial" w:eastAsia="Arial" w:hAnsi="Arial"/>
          <w:b/>
          <w:bCs/>
          <w:color w:val="1B2118"/>
          <w:sz w:val="21"/>
          <w:szCs w:val="21"/>
        </w:rPr>
        <w:t xml:space="preserve">e</w:t>
      </w:r>
      <w:r>
        <w:rPr>
          <w:rFonts w:ascii="Arial" w:cs="Arial" w:eastAsia="Arial" w:hAnsi="Arial"/>
          <w:color w:val="1B2118"/>
          <w:sz w:val="21"/>
          <w:szCs w:val="21"/>
        </w:rPr>
        <w:t xml:space="preserve"> se i controlli di coerenza non segnalano errori (per esempio Banca Dati Utenze mancante, PEF che non fa 100%, classi assenti nella delibera, valori negativi): gli errori sono elencati nel riquadro. Gli avvisi («Da verificare») non bloccano. Il database rifiuta comunque la conferma di un calcolo senza Banca Dati Utenze o con un risultato bloccato (script 35). Questa regola è stata introdotta dopo il collaudo V01 (riserva R05) ed è da confermare con la Fondazione.</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Simulatore di scenari</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(menu </w:t>
      </w:r>
      <w:r>
        <w:rPr>
          <w:rFonts w:ascii="Arial" w:cs="Arial" w:eastAsia="Arial" w:hAnsi="Arial"/>
          <w:i/>
          <w:iCs/>
          <w:color w:val="1B2118"/>
          <w:sz w:val="21"/>
          <w:szCs w:val="21"/>
        </w:rPr>
        <w:t xml:space="preserve">Simulatore</w:t>
      </w:r>
      <w:r>
        <w:rPr>
          <w:rFonts w:ascii="Arial" w:cs="Arial" w:eastAsia="Arial" w:hAnsi="Arial"/>
          <w:color w:val="1B2118"/>
          <w:sz w:val="21"/>
          <w:szCs w:val="21"/>
        </w:rPr>
        <w:t xml:space="preserve">, per Operatori e Amministratori) stima in anticipo quanti crediti un Comune potrebbe generare in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Serve per presentare il Programma a un Comune o per confrontare obiettivi diversi. È una </w:t>
      </w:r>
      <w:r>
        <w:rPr>
          <w:rFonts w:ascii="Arial" w:cs="Arial" w:eastAsia="Arial" w:hAnsi="Arial"/>
          <w:b/>
          <w:bCs/>
          <w:color w:val="1B2118"/>
          <w:sz w:val="21"/>
          <w:szCs w:val="21"/>
        </w:rPr>
        <w:t xml:space="preserve">stima ex ante, non certificabile</w:t>
      </w:r>
      <w:r>
        <w:rPr>
          <w:rFonts w:ascii="Arial" w:cs="Arial" w:eastAsia="Arial" w:hAnsi="Arial"/>
          <w:color w:val="1B2118"/>
          <w:sz w:val="21"/>
          <w:szCs w:val="21"/>
        </w:rPr>
        <w:t xml:space="preserve">: i crediti veri si calcolano a consuntivo, con il calcolo dei crediti e la Banca Dati Utenze.</w:t>
      </w:r>
    </w:p>
    <w:p>
      <w:pPr>
        <w:spacing w:after="140" w:line="300"/>
      </w:pPr>
      <w:r>
        <w:rPr>
          <w:rFonts w:ascii="Arial" w:cs="Arial" w:eastAsia="Arial" w:hAnsi="Arial"/>
          <w:b/>
          <w:bCs/>
          <w:color w:val="1B2118"/>
          <w:sz w:val="21"/>
          <w:szCs w:val="21"/>
        </w:rPr>
        <w:t xml:space="preserve">Creare uno scenario</w:t>
      </w:r>
    </w:p>
    <w:p>
      <w:pPr>
        <w:pStyle w:val="ListParagraph"/>
        <w:numPr>
          <w:ilvl w:val="0"/>
          <w:numId w:val="35"/>
        </w:numPr>
        <w:spacing w:after="70" w:line="29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Nuovo scenario</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Scegliete il Comune tra quelli censiti oppure scrivetene il nome (si possono simulare anche Comuni non ancora aderenti).</w:t>
      </w:r>
    </w:p>
    <w:p>
      <w:pPr>
        <w:pStyle w:val="ListParagraph"/>
        <w:numPr>
          <w:ilvl w:val="0"/>
          <w:numId w:val="35"/>
        </w:numPr>
        <w:spacing w:after="70" w:line="290"/>
      </w:pPr>
      <w:r>
        <w:rPr>
          <w:rFonts w:ascii="Arial" w:cs="Arial" w:eastAsia="Arial" w:hAnsi="Arial"/>
          <w:color w:val="1B2118"/>
          <w:sz w:val="21"/>
          <w:szCs w:val="21"/>
        </w:rPr>
        <w:t xml:space="preserve">Date un nome allo scenario (per esempio «prudente», «obiettivo», «ambizioso»), scegliete la </w:t>
      </w:r>
      <w:r>
        <w:rPr>
          <w:rFonts w:ascii="Arial" w:cs="Arial" w:eastAsia="Arial" w:hAnsi="Arial"/>
          <w:b/>
          <w:bCs/>
          <w:color w:val="1B2118"/>
          <w:sz w:val="21"/>
          <w:szCs w:val="21"/>
        </w:rPr>
        <w:t xml:space="preserve">durata</w:t>
      </w:r>
      <w:r>
        <w:rPr>
          <w:rFonts w:ascii="Arial" w:cs="Arial" w:eastAsia="Arial" w:hAnsi="Arial"/>
          <w:color w:val="1B2118"/>
          <w:sz w:val="21"/>
          <w:szCs w:val="21"/>
        </w:rPr>
        <w:t xml:space="preserve"> dal menu a tendina (7, 10 o 21 anni) e il primo anno → </w:t>
      </w:r>
      <w:r>
        <w:rPr>
          <w:rFonts w:ascii="Arial" w:cs="Arial" w:eastAsia="Arial" w:hAnsi="Arial"/>
          <w:b/>
          <w:bCs/>
          <w:color w:val="1B2118"/>
          <w:sz w:val="21"/>
          <w:szCs w:val="21"/>
        </w:rPr>
        <w:t xml:space="preserve">Crea scenario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ogni Comune si possono creare più scenari; con </w:t>
      </w:r>
      <w:r>
        <w:rPr>
          <w:rFonts w:ascii="Arial" w:cs="Arial" w:eastAsia="Arial" w:hAnsi="Arial"/>
          <w:b/>
          <w:bCs/>
          <w:color w:val="1B2118"/>
          <w:sz w:val="21"/>
          <w:szCs w:val="21"/>
        </w:rPr>
        <w:t xml:space="preserve">Duplica</w:t>
      </w:r>
      <w:r>
        <w:rPr>
          <w:rFonts w:ascii="Arial" w:cs="Arial" w:eastAsia="Arial" w:hAnsi="Arial"/>
          <w:color w:val="1B2118"/>
          <w:sz w:val="21"/>
          <w:szCs w:val="21"/>
        </w:rPr>
        <w:t xml:space="preserve"> si parte da uno esistente e si cambia solo qualche obiettivo.</w:t>
      </w:r>
    </w:p>
    <w:p>
      <w:pPr>
        <w:spacing w:after="140" w:line="300"/>
      </w:pPr>
      <w:r>
        <w:rPr>
          <w:rFonts w:ascii="Arial" w:cs="Arial" w:eastAsia="Arial" w:hAnsi="Arial"/>
          <w:b/>
          <w:bCs/>
          <w:color w:val="1B2118"/>
          <w:sz w:val="21"/>
          <w:szCs w:val="21"/>
        </w:rPr>
        <w:t xml:space="preserve">Dati non ammessi (dal 20/10/2026, collaudo V01).</w:t>
      </w:r>
      <w:r>
        <w:rPr>
          <w:rFonts w:ascii="Arial" w:cs="Arial" w:eastAsia="Arial" w:hAnsi="Arial"/>
          <w:color w:val="1B2118"/>
          <w:sz w:val="21"/>
          <w:szCs w:val="21"/>
        </w:rPr>
        <w:t xml:space="preserve"> Il simulatore non dà risultati e non salva lo scenario se un dato è fisicamente impossibile. Sono errori:</w:t>
      </w:r>
    </w:p>
    <w:p>
      <w:pPr>
        <w:pStyle w:val="ListParagraph"/>
        <w:numPr>
          <w:ilvl w:val="0"/>
          <w:numId w:val="2"/>
        </w:numPr>
        <w:spacing w:after="70" w:line="290"/>
      </w:pPr>
      <w:r>
        <w:rPr>
          <w:rFonts w:ascii="Arial" w:cs="Arial" w:eastAsia="Arial" w:hAnsi="Arial"/>
          <w:color w:val="1B2118"/>
          <w:sz w:val="21"/>
          <w:szCs w:val="21"/>
        </w:rPr>
        <w:t xml:space="preserve">popolazione o produzione totale negative o zero;</w:t>
      </w:r>
    </w:p>
    <w:p>
      <w:pPr>
        <w:pStyle w:val="ListParagraph"/>
        <w:numPr>
          <w:ilvl w:val="0"/>
          <w:numId w:val="2"/>
        </w:numPr>
        <w:spacing w:after="70" w:line="290"/>
      </w:pPr>
      <w:r>
        <w:rPr>
          <w:rFonts w:ascii="Arial" w:cs="Arial" w:eastAsia="Arial" w:hAnsi="Arial"/>
          <w:color w:val="1B2118"/>
          <w:sz w:val="21"/>
          <w:szCs w:val="21"/>
        </w:rPr>
        <w:t xml:space="preserve">secco negativo, oppure secco maggiore della produzione (differenziata oltre il 100%);</w:t>
      </w:r>
    </w:p>
    <w:p>
      <w:pPr>
        <w:pStyle w:val="ListParagraph"/>
        <w:numPr>
          <w:ilvl w:val="0"/>
          <w:numId w:val="2"/>
        </w:numPr>
        <w:spacing w:after="70" w:line="290"/>
      </w:pPr>
      <w:r>
        <w:rPr>
          <w:rFonts w:ascii="Arial" w:cs="Arial" w:eastAsia="Arial" w:hAnsi="Arial"/>
          <w:color w:val="1B2118"/>
          <w:sz w:val="21"/>
          <w:szCs w:val="21"/>
        </w:rPr>
        <w:t xml:space="preserve">rifiuti di riferimento negativi;</w:t>
      </w:r>
    </w:p>
    <w:p>
      <w:pPr>
        <w:pStyle w:val="ListParagraph"/>
        <w:numPr>
          <w:ilvl w:val="0"/>
          <w:numId w:val="2"/>
        </w:numPr>
        <w:spacing w:after="70" w:line="290"/>
      </w:pPr>
      <w:r>
        <w:rPr>
          <w:rFonts w:ascii="Arial" w:cs="Arial" w:eastAsia="Arial" w:hAnsi="Arial"/>
          <w:color w:val="1B2118"/>
          <w:sz w:val="21"/>
          <w:szCs w:val="21"/>
        </w:rPr>
        <w:t xml:space="preserve">buffer fuori da 0-80%, oppure campo del buffer vuoto;</w:t>
      </w:r>
    </w:p>
    <w:p>
      <w:pPr>
        <w:pStyle w:val="ListParagraph"/>
        <w:numPr>
          <w:ilvl w:val="0"/>
          <w:numId w:val="2"/>
        </w:numPr>
        <w:spacing w:after="70" w:line="290"/>
      </w:pPr>
      <w:r>
        <w:rPr>
          <w:rFonts w:ascii="Arial" w:cs="Arial" w:eastAsia="Arial" w:hAnsi="Arial"/>
          <w:color w:val="1B2118"/>
          <w:sz w:val="21"/>
          <w:szCs w:val="21"/>
        </w:rPr>
        <w:t xml:space="preserve">valori del credito o costi negativi o non numerici;</w:t>
      </w:r>
    </w:p>
    <w:p>
      <w:pPr>
        <w:pStyle w:val="ListParagraph"/>
        <w:numPr>
          <w:ilvl w:val="0"/>
          <w:numId w:val="2"/>
        </w:numPr>
        <w:spacing w:after="70" w:line="290"/>
      </w:pPr>
      <w:r>
        <w:rPr>
          <w:rFonts w:ascii="Arial" w:cs="Arial" w:eastAsia="Arial" w:hAnsi="Arial"/>
          <w:color w:val="1B2118"/>
          <w:sz w:val="21"/>
          <w:szCs w:val="21"/>
        </w:rPr>
        <w:t xml:space="preserve">valore minimo del credito più alto del massimo.</w:t>
      </w:r>
    </w:p>
    <w:p>
      <w:pPr>
        <w:spacing w:after="140" w:line="300"/>
      </w:pPr>
      <w:r>
        <w:rPr>
          <w:rFonts w:ascii="Arial" w:cs="Arial" w:eastAsia="Arial" w:hAnsi="Arial"/>
          <w:color w:val="1B2118"/>
          <w:sz w:val="21"/>
          <w:szCs w:val="21"/>
        </w:rPr>
        <w:t xml:space="preserve">In questi casi il riquadro rosso nei Risultati elenca gli errori e accanto a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che resta disattivato, compare «Da correggere prima di salvare: n». Un campo lasciato </w:t>
      </w:r>
      <w:r>
        <w:rPr>
          <w:rFonts w:ascii="Arial" w:cs="Arial" w:eastAsia="Arial" w:hAnsi="Arial"/>
          <w:b/>
          <w:bCs/>
          <w:color w:val="1B2118"/>
          <w:sz w:val="21"/>
          <w:szCs w:val="21"/>
        </w:rPr>
        <w:t xml:space="preserve">vuoto</w:t>
      </w:r>
      <w:r>
        <w:rPr>
          <w:rFonts w:ascii="Arial" w:cs="Arial" w:eastAsia="Arial" w:hAnsi="Arial"/>
          <w:color w:val="1B2118"/>
          <w:sz w:val="21"/>
          <w:szCs w:val="21"/>
        </w:rPr>
        <w:t xml:space="preserve"> vuol dire «non indicato» (per esempio l'anno prende il punto di partenza). Lo </w:t>
      </w:r>
      <w:r>
        <w:rPr>
          <w:rFonts w:ascii="Arial" w:cs="Arial" w:eastAsia="Arial" w:hAnsi="Arial"/>
          <w:b/>
          <w:bCs/>
          <w:color w:val="1B2118"/>
          <w:sz w:val="21"/>
          <w:szCs w:val="21"/>
        </w:rPr>
        <w:t xml:space="preserve">zero</w:t>
      </w:r>
      <w:r>
        <w:rPr>
          <w:rFonts w:ascii="Arial" w:cs="Arial" w:eastAsia="Arial" w:hAnsi="Arial"/>
          <w:color w:val="1B2118"/>
          <w:sz w:val="21"/>
          <w:szCs w:val="21"/>
        </w:rPr>
        <w:t xml:space="preserve"> invece è un valore vero: un valore del credito 0 in un anno dà ricavi 0 in quell'anno, e un valore minimo 0 dà lo scenario peggiore con ricavi 0. Il database ripete gli stessi controlli (script 35).</w:t>
      </w:r>
    </w:p>
    <w:p>
      <w:pPr>
        <w:spacing w:after="140" w:line="300"/>
      </w:pPr>
      <w:r>
        <w:rPr>
          <w:rFonts w:ascii="Arial" w:cs="Arial" w:eastAsia="Arial" w:hAnsi="Arial"/>
          <w:b/>
          <w:bCs/>
          <w:color w:val="1B2118"/>
          <w:sz w:val="21"/>
          <w:szCs w:val="21"/>
        </w:rPr>
        <w:t xml:space="preserve">1. Impostazioni.</w:t>
      </w:r>
      <w:r>
        <w:rPr>
          <w:rFonts w:ascii="Arial" w:cs="Arial" w:eastAsia="Arial" w:hAnsi="Arial"/>
          <w:color w:val="1B2118"/>
          <w:sz w:val="21"/>
          <w:szCs w:val="21"/>
        </w:rPr>
        <w:t xml:space="preserve"> Nome, durata (menu a tendina 7 / 10 / 21 anni, Standard 4.3.8), primo anno, </w:t>
      </w:r>
      <w:r>
        <w:rPr>
          <w:rFonts w:ascii="Arial" w:cs="Arial" w:eastAsia="Arial" w:hAnsi="Arial"/>
          <w:b/>
          <w:bCs/>
          <w:color w:val="1B2118"/>
          <w:sz w:val="21"/>
          <w:szCs w:val="21"/>
        </w:rPr>
        <w:t xml:space="preserve">metodo di stima dei crediti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buffer previsto</w:t>
      </w:r>
      <w:r>
        <w:rPr>
          <w:rFonts w:ascii="Arial" w:cs="Arial" w:eastAsia="Arial" w:hAnsi="Arial"/>
          <w:color w:val="1B2118"/>
          <w:sz w:val="21"/>
          <w:szCs w:val="21"/>
        </w:rPr>
        <w:t xml:space="preserve"> (quota trattenuta dai crediti lordi, Capitolo 7 della Metodologia) e note sulle ipotesi.</w:t>
      </w:r>
    </w:p>
    <w:p>
      <w:pPr>
        <w:spacing w:after="140" w:line="300"/>
      </w:pPr>
      <w:r>
        <w:rPr>
          <w:rFonts w:ascii="Arial" w:cs="Arial" w:eastAsia="Arial" w:hAnsi="Arial"/>
          <w:b/>
          <w:bCs/>
          <w:color w:val="1B2118"/>
          <w:sz w:val="21"/>
          <w:szCs w:val="21"/>
        </w:rPr>
        <w:t xml:space="preserve">Metodo di stima.</w:t>
      </w:r>
      <w:r>
        <w:rPr>
          <w:rFonts w:ascii="Arial" w:cs="Arial" w:eastAsia="Arial" w:hAnsi="Arial"/>
          <w:color w:val="1B2118"/>
          <w:sz w:val="21"/>
          <w:szCs w:val="21"/>
        </w:rPr>
        <w:t xml:space="preserve"> Si sceglie tra due metodi, entrambi previsti dalla formula 32 della Metodologia:</w:t>
      </w:r>
    </w:p>
    <w:p>
      <w:pPr>
        <w:pStyle w:val="ListParagraph"/>
        <w:numPr>
          <w:ilvl w:val="0"/>
          <w:numId w:val="2"/>
        </w:numPr>
        <w:spacing w:after="70" w:line="290"/>
      </w:pPr>
      <w:r>
        <w:rPr>
          <w:rFonts w:ascii="Arial" w:cs="Arial" w:eastAsia="Arial" w:hAnsi="Arial"/>
          <w:b/>
          <w:bCs/>
          <w:color w:val="1B2118"/>
          <w:sz w:val="21"/>
          <w:szCs w:val="21"/>
        </w:rPr>
        <w:t xml:space="preserve">Bilancio del Comune (tutte le utenze insieme).</w:t>
      </w:r>
      <w:r>
        <w:rPr>
          <w:rFonts w:ascii="Arial" w:cs="Arial" w:eastAsia="Arial" w:hAnsi="Arial"/>
          <w:color w:val="1B2118"/>
          <w:sz w:val="21"/>
          <w:szCs w:val="21"/>
        </w:rPr>
        <w:t xml:space="preserve"> Confronta i totali del Comune con lo scenario di riferimento: le utenze che peggiorano compensano quelle che migliorano, quindi i crediti nascono solo dai rifiuti evitati in totale. È la stima più prudente.</w:t>
      </w:r>
    </w:p>
    <w:p>
      <w:pPr>
        <w:pStyle w:val="ListParagraph"/>
        <w:numPr>
          <w:ilvl w:val="0"/>
          <w:numId w:val="2"/>
        </w:numPr>
        <w:spacing w:after="70" w:line="290"/>
      </w:pPr>
      <w:r>
        <w:rPr>
          <w:rFonts w:ascii="Arial" w:cs="Arial" w:eastAsia="Arial" w:hAnsi="Arial"/>
          <w:b/>
          <w:bCs/>
          <w:color w:val="1B2118"/>
          <w:sz w:val="21"/>
          <w:szCs w:val="21"/>
        </w:rPr>
        <w:t xml:space="preserve">Per utenza: solo utenze virtuose (con buffer).</w:t>
      </w:r>
      <w:r>
        <w:rPr>
          <w:rFonts w:ascii="Arial" w:cs="Arial" w:eastAsia="Arial" w:hAnsi="Arial"/>
          <w:color w:val="1B2118"/>
          <w:sz w:val="21"/>
          <w:szCs w:val="21"/>
        </w:rPr>
        <w:t xml:space="preserve"> Contano solo le utenze che producono meno del valore atteso, per i rifiuti misurati per utenza (ad esempio secco e organico con la tariffa puntuale); i debiti delle altre li copre il buffer. È il metodo delle stime dell'Allegato A dei contratti tipo EsaCom. Senza Banca Dati Utenze la differenza tra le utenze si rappresenta con la </w:t>
      </w:r>
      <w:r>
        <w:rPr>
          <w:rFonts w:ascii="Arial" w:cs="Arial" w:eastAsia="Arial" w:hAnsi="Arial"/>
          <w:b/>
          <w:bCs/>
          <w:color w:val="1B2118"/>
          <w:sz w:val="21"/>
          <w:szCs w:val="21"/>
        </w:rPr>
        <w:t xml:space="preserve">variabilità tra utenze</w:t>
      </w:r>
      <w:r>
        <w:rPr>
          <w:rFonts w:ascii="Arial" w:cs="Arial" w:eastAsia="Arial" w:hAnsi="Arial"/>
          <w:color w:val="1B2118"/>
          <w:sz w:val="21"/>
          <w:szCs w:val="21"/>
        </w:rPr>
        <w:t xml:space="preserve"> (proposta 30%): è un'ipotesi, da tarare sui dati reali del gestore.</w:t>
      </w:r>
    </w:p>
    <w:p>
      <w:pPr>
        <w:spacing w:after="140" w:line="300"/>
      </w:pPr>
      <w:r>
        <w:rPr>
          <w:rFonts w:ascii="Arial" w:cs="Arial" w:eastAsia="Arial" w:hAnsi="Arial"/>
          <w:color w:val="1B2118"/>
          <w:sz w:val="21"/>
          <w:szCs w:val="21"/>
        </w:rPr>
        <w:t xml:space="preserve">Nel riquadro sotto si indicano i </w:t>
      </w:r>
      <w:r>
        <w:rPr>
          <w:rFonts w:ascii="Arial" w:cs="Arial" w:eastAsia="Arial" w:hAnsi="Arial"/>
          <w:b/>
          <w:bCs/>
          <w:color w:val="1B2118"/>
          <w:sz w:val="21"/>
          <w:szCs w:val="21"/>
        </w:rPr>
        <w:t xml:space="preserve">rifiuti misurati per utenza</w:t>
      </w:r>
      <w:r>
        <w:rPr>
          <w:rFonts w:ascii="Arial" w:cs="Arial" w:eastAsia="Arial" w:hAnsi="Arial"/>
          <w:color w:val="1B2118"/>
          <w:sz w:val="21"/>
          <w:szCs w:val="21"/>
        </w:rPr>
        <w:t xml:space="preserve"> (Tabella 16), le </w:t>
      </w:r>
      <w:r>
        <w:rPr>
          <w:rFonts w:ascii="Arial" w:cs="Arial" w:eastAsia="Arial" w:hAnsi="Arial"/>
          <w:b/>
          <w:bCs/>
          <w:color w:val="1B2118"/>
          <w:sz w:val="21"/>
          <w:szCs w:val="21"/>
        </w:rPr>
        <w:t xml:space="preserve">utenze monitorate</w:t>
      </w:r>
      <w:r>
        <w:rPr>
          <w:rFonts w:ascii="Arial" w:cs="Arial" w:eastAsia="Arial" w:hAnsi="Arial"/>
          <w:color w:val="1B2118"/>
          <w:sz w:val="21"/>
          <w:szCs w:val="21"/>
        </w:rPr>
        <w:t xml:space="preserve"> (Tabella 15) e se sono attive la </w:t>
      </w:r>
      <w:r>
        <w:rPr>
          <w:rFonts w:ascii="Arial" w:cs="Arial" w:eastAsia="Arial" w:hAnsi="Arial"/>
          <w:b/>
          <w:bCs/>
          <w:color w:val="1B2118"/>
          <w:sz w:val="21"/>
          <w:szCs w:val="21"/>
        </w:rPr>
        <w:t xml:space="preserve">tariffa puntuale</w:t>
      </w:r>
      <w:r>
        <w:rPr>
          <w:rFonts w:ascii="Arial" w:cs="Arial" w:eastAsia="Arial" w:hAnsi="Arial"/>
          <w:color w:val="1B2118"/>
          <w:sz w:val="21"/>
          <w:szCs w:val="21"/>
        </w:rPr>
        <w:t xml:space="preserve">, la misura ai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 (−2%) e la misura di ingombranti, verde o indumenti (−1%). Il portale mostra il </w:t>
      </w:r>
      <w:r>
        <w:rPr>
          <w:rFonts w:ascii="Arial" w:cs="Arial" w:eastAsia="Arial" w:hAnsi="Arial"/>
          <w:b/>
          <w:bCs/>
          <w:color w:val="1B2118"/>
          <w:sz w:val="21"/>
          <w:szCs w:val="21"/>
        </w:rPr>
        <w:t xml:space="preserve">buffer secondo il Capitolo 7</w:t>
      </w:r>
      <w:r>
        <w:rPr>
          <w:rFonts w:ascii="Arial" w:cs="Arial" w:eastAsia="Arial" w:hAnsi="Arial"/>
          <w:color w:val="1B2118"/>
          <w:sz w:val="21"/>
          <w:szCs w:val="21"/>
        </w:rPr>
        <w:t xml:space="preserve"> con le voci che lo compongono: 20% se si contano solo le utenze virtuose, più le Tabelle 15 e 16, con la parte della Tabella 16 dimezzata dalla tariffa puntuale, al massimo 80%. </w:t>
      </w:r>
      <w:r>
        <w:rPr>
          <w:rFonts w:ascii="Arial" w:cs="Arial" w:eastAsia="Arial" w:hAnsi="Arial"/>
          <w:b/>
          <w:bCs/>
          <w:color w:val="1B2118"/>
          <w:sz w:val="21"/>
          <w:szCs w:val="21"/>
        </w:rPr>
        <w:t xml:space="preserve">Usa questo buffer</w:t>
      </w:r>
      <w:r>
        <w:rPr>
          <w:rFonts w:ascii="Arial" w:cs="Arial" w:eastAsia="Arial" w:hAnsi="Arial"/>
          <w:color w:val="1B2118"/>
          <w:sz w:val="21"/>
          <w:szCs w:val="21"/>
        </w:rPr>
        <w:t xml:space="preserve"> lo applica allo scenario. Se il buffer impostato è più basso del minimo, i Risultati lo segnalano.</w:t>
      </w:r>
    </w:p>
    <w:p>
      <w:pPr>
        <w:spacing w:after="140" w:line="300"/>
      </w:pPr>
      <w:r>
        <w:rPr>
          <w:rFonts w:ascii="Arial" w:cs="Arial" w:eastAsia="Arial" w:hAnsi="Arial"/>
          <w:b/>
          <w:bCs/>
          <w:color w:val="1B2118"/>
          <w:sz w:val="21"/>
          <w:szCs w:val="21"/>
        </w:rPr>
        <w:t xml:space="preserve">Taratura.</w:t>
      </w:r>
      <w:r>
        <w:rPr>
          <w:rFonts w:ascii="Arial" w:cs="Arial" w:eastAsia="Arial" w:hAnsi="Arial"/>
          <w:color w:val="1B2118"/>
          <w:sz w:val="21"/>
          <w:szCs w:val="21"/>
        </w:rPr>
        <w:t xml:space="preserve"> Con il metodo per utenza si può scrivere un valore di crediti netti per abitante all'anno da riprodurre (ad esempio 0,19 di una stima già fatta) e premere </w:t>
      </w:r>
      <w:r>
        <w:rPr>
          <w:rFonts w:ascii="Arial" w:cs="Arial" w:eastAsia="Arial" w:hAnsi="Arial"/>
          <w:b/>
          <w:bCs/>
          <w:color w:val="1B2118"/>
          <w:sz w:val="21"/>
          <w:szCs w:val="21"/>
        </w:rPr>
        <w:t xml:space="preserve">Trova la variabilità</w:t>
      </w:r>
      <w:r>
        <w:rPr>
          <w:rFonts w:ascii="Arial" w:cs="Arial" w:eastAsia="Arial" w:hAnsi="Arial"/>
          <w:color w:val="1B2118"/>
          <w:sz w:val="21"/>
          <w:szCs w:val="21"/>
        </w:rPr>
        <w:t xml:space="preserve">: il portale cerca la variabilità tra utenze che porta a quel risultato con i dati dello scenario.</w:t>
      </w:r>
    </w:p>
    <w:p>
      <w:pPr>
        <w:spacing w:after="140" w:line="300"/>
      </w:pPr>
      <w:r>
        <w:rPr>
          <w:rFonts w:ascii="Arial" w:cs="Arial" w:eastAsia="Arial" w:hAnsi="Arial"/>
          <w:b/>
          <w:bCs/>
          <w:color w:val="1B2118"/>
          <w:sz w:val="21"/>
          <w:szCs w:val="21"/>
        </w:rPr>
        <w:t xml:space="preserve">2. Scenario di riferimento (Standard 4.8.1).</w:t>
      </w:r>
      <w:r>
        <w:rPr>
          <w:rFonts w:ascii="Arial" w:cs="Arial" w:eastAsia="Arial" w:hAnsi="Arial"/>
          <w:color w:val="1B2118"/>
          <w:sz w:val="21"/>
          <w:szCs w:val="21"/>
        </w:rPr>
        <w:t xml:space="preserve"> È la situazione «senza progetto» con cui si confrontano gli obiettivi, come nel Programma. Due modi, scelti con i pulsanti:</w:t>
      </w:r>
    </w:p>
    <w:p>
      <w:pPr>
        <w:pStyle w:val="ListParagraph"/>
        <w:numPr>
          <w:ilvl w:val="0"/>
          <w:numId w:val="2"/>
        </w:numPr>
        <w:spacing w:after="70" w:line="290"/>
      </w:pPr>
      <w:r>
        <w:rPr>
          <w:rFonts w:ascii="Arial" w:cs="Arial" w:eastAsia="Arial" w:hAnsi="Arial"/>
          <w:b/>
          <w:bCs/>
          <w:color w:val="1B2118"/>
          <w:sz w:val="21"/>
          <w:szCs w:val="21"/>
        </w:rPr>
        <w:t xml:space="preserve">Anno con il 65% di differenziata</w:t>
      </w:r>
      <w:r>
        <w:rPr>
          <w:rFonts w:ascii="Arial" w:cs="Arial" w:eastAsia="Arial" w:hAnsi="Arial"/>
          <w:color w:val="1B2118"/>
          <w:sz w:val="21"/>
          <w:szCs w:val="21"/>
        </w:rPr>
        <w:t xml:space="preserve">: l'anno in cui il Comune ha raggiunto l'obiettivo di legge (tra 64% e 66%, dati Catasto ISPRA), con popolazione e rifiuti per tipologia in tonnellate; si compilano a mano o, per gli Amministratori, si importano da un calcolo dei crediti. Se la differenziata dell'anno indicato è fuori dall'intervallo il portale lo segnala (Standard 4.8.1 e addizionalità normativa 4.9.1); se è indicato il cluster, segnala anche le tipologie che si scostano più del 30% dalla Tabella 3 (Gestione della qualità dei dati, 3.1.2);</w:t>
      </w:r>
    </w:p>
    <w:p>
      <w:pPr>
        <w:pStyle w:val="ListParagraph"/>
        <w:numPr>
          <w:ilvl w:val="0"/>
          <w:numId w:val="2"/>
        </w:numPr>
        <w:spacing w:after="70" w:line="290"/>
      </w:pPr>
      <w:r>
        <w:rPr>
          <w:rFonts w:ascii="Arial" w:cs="Arial" w:eastAsia="Arial" w:hAnsi="Arial"/>
          <w:b/>
          <w:bCs/>
          <w:color w:val="1B2118"/>
          <w:sz w:val="21"/>
          <w:szCs w:val="21"/>
        </w:rPr>
        <w:t xml:space="preserve">Valori medi del cluster (Tabella 3)</w:t>
      </w:r>
      <w:r>
        <w:rPr>
          <w:rFonts w:ascii="Arial" w:cs="Arial" w:eastAsia="Arial" w:hAnsi="Arial"/>
          <w:color w:val="1B2118"/>
          <w:sz w:val="21"/>
          <w:szCs w:val="21"/>
        </w:rPr>
        <w:t xml:space="preserve">: quando il Comune non ha un anno con il 65%, si sceglie il cluster SOSE, si indica la popolazione ISPRA 2022 e si preme </w:t>
      </w:r>
      <w:r>
        <w:rPr>
          <w:rFonts w:ascii="Arial" w:cs="Arial" w:eastAsia="Arial" w:hAnsi="Arial"/>
          <w:b/>
          <w:bCs/>
          <w:color w:val="1B2118"/>
          <w:sz w:val="21"/>
          <w:szCs w:val="21"/>
        </w:rPr>
        <w:t xml:space="preserve">Calcola dai valori medi del cluster</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A destra il riepilogo: produzione totale e pro capite, secco pro capite, </w:t>
      </w:r>
      <w:r>
        <w:rPr>
          <w:rFonts w:ascii="Arial" w:cs="Arial" w:eastAsia="Arial" w:hAnsi="Arial"/>
          <w:b/>
          <w:bCs/>
          <w:color w:val="1B2118"/>
          <w:sz w:val="21"/>
          <w:szCs w:val="21"/>
        </w:rPr>
        <w:t xml:space="preserve">% di raccolta differenziata</w:t>
      </w:r>
      <w:r>
        <w:rPr>
          <w:rFonts w:ascii="Arial" w:cs="Arial" w:eastAsia="Arial" w:hAnsi="Arial"/>
          <w:color w:val="1B2118"/>
          <w:sz w:val="21"/>
          <w:szCs w:val="21"/>
        </w:rPr>
        <w:t xml:space="preserve"> e fattore di emissione del secco (formule 16-17). </w:t>
      </w:r>
      <w:r>
        <w:rPr>
          <w:rFonts w:ascii="Arial" w:cs="Arial" w:eastAsia="Arial" w:hAnsi="Arial"/>
          <w:b/>
          <w:bCs/>
          <w:color w:val="1B2118"/>
          <w:sz w:val="21"/>
          <w:szCs w:val="21"/>
        </w:rPr>
        <w:t xml:space="preserve">Nel calcolo il riferimento è sempre portato alla soglia minima del 65% di differenziata</w:t>
      </w:r>
      <w:r>
        <w:rPr>
          <w:rFonts w:ascii="Arial" w:cs="Arial" w:eastAsia="Arial" w:hAnsi="Arial"/>
          <w:color w:val="1B2118"/>
          <w:sz w:val="21"/>
          <w:szCs w:val="21"/>
        </w:rPr>
        <w:t xml:space="preserve">: stessa produzione totale, secco al 35%. Ogni anno i risultati si calcolano per differenza da questa soglia, e la tabella dei risultati mostra di quanti punti la differenziata supera il 65%. Se i dati inseriti hanno una percentuale diversa, un avviso lo segnala; un altro avviso compare se la produzione pro capite è fuori scala (unità di misura sbagliata).</w:t>
      </w:r>
    </w:p>
    <w:p>
      <w:pPr>
        <w:spacing w:after="140" w:line="300"/>
      </w:pPr>
      <w:r>
        <w:rPr>
          <w:rFonts w:ascii="Arial" w:cs="Arial" w:eastAsia="Arial" w:hAnsi="Arial"/>
          <w:b/>
          <w:bCs/>
          <w:color w:val="1B2118"/>
          <w:sz w:val="21"/>
          <w:szCs w:val="21"/>
        </w:rPr>
        <w:t xml:space="preserve">Situazione attuale (facoltativa).</w:t>
      </w:r>
      <w:r>
        <w:rPr>
          <w:rFonts w:ascii="Arial" w:cs="Arial" w:eastAsia="Arial" w:hAnsi="Arial"/>
          <w:color w:val="1B2118"/>
          <w:sz w:val="21"/>
          <w:szCs w:val="21"/>
        </w:rPr>
        <w:t xml:space="preserve"> L'ultimo anno con dati disponibili (popolazione, produzione pro capite, secco pro capite): è il punto di partenza degli obiettivi e della traiettoria. I crediti si calcolano sempre rispetto allo scenario di riferimento.</w:t>
      </w:r>
    </w:p>
    <w:p>
      <w:pPr>
        <w:spacing w:after="140" w:line="300"/>
      </w:pPr>
      <w:r>
        <w:rPr>
          <w:rFonts w:ascii="Arial" w:cs="Arial" w:eastAsia="Arial" w:hAnsi="Arial"/>
          <w:b/>
          <w:bCs/>
          <w:color w:val="1B2118"/>
          <w:sz w:val="21"/>
          <w:szCs w:val="21"/>
        </w:rPr>
        <w:t xml:space="preserve">3. Obiettivi anno per anno.</w:t>
      </w:r>
      <w:r>
        <w:rPr>
          <w:rFonts w:ascii="Arial" w:cs="Arial" w:eastAsia="Arial" w:hAnsi="Arial"/>
          <w:color w:val="1B2118"/>
          <w:sz w:val="21"/>
          <w:szCs w:val="21"/>
        </w:rPr>
        <w:t xml:space="preserve"> Una riga per ogni anno del periodo: popolazione, </w:t>
      </w:r>
      <w:r>
        <w:rPr>
          <w:rFonts w:ascii="Arial" w:cs="Arial" w:eastAsia="Arial" w:hAnsi="Arial"/>
          <w:b/>
          <w:bCs/>
          <w:color w:val="1B2118"/>
          <w:sz w:val="21"/>
          <w:szCs w:val="21"/>
        </w:rPr>
        <w:t xml:space="preserve">produzione totale prevista</w:t>
      </w:r>
      <w:r>
        <w:rPr>
          <w:rFonts w:ascii="Arial" w:cs="Arial" w:eastAsia="Arial" w:hAnsi="Arial"/>
          <w:color w:val="1B2118"/>
          <w:sz w:val="21"/>
          <w:szCs w:val="21"/>
        </w:rPr>
        <w:t xml:space="preserve"> (in tonnellate, oppure scrivendo il pro capite in kg/ab) e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obiettivo. Per non compilare tutto a mano, indicate gli obiettivi dell'ultimo anno (produzione pro capite e secco pro capite) e premete </w:t>
      </w:r>
      <w:r>
        <w:rPr>
          <w:rFonts w:ascii="Arial" w:cs="Arial" w:eastAsia="Arial" w:hAnsi="Arial"/>
          <w:b/>
          <w:bCs/>
          <w:color w:val="1B2118"/>
          <w:sz w:val="21"/>
          <w:szCs w:val="21"/>
        </w:rPr>
        <w:t xml:space="preserve">Applica la traiettoria</w:t>
      </w:r>
      <w:r>
        <w:rPr>
          <w:rFonts w:ascii="Arial" w:cs="Arial" w:eastAsia="Arial" w:hAnsi="Arial"/>
          <w:color w:val="1B2118"/>
          <w:sz w:val="21"/>
          <w:szCs w:val="21"/>
        </w:rPr>
        <w:t xml:space="preserve">: il portale riempie gli anni con un andamento lineare dalla situazione attuale (o dal riferimento), poi potete correggere i singoli anni. Per ogni anno il portale ricalcola il secco in tonnellate e la </w:t>
      </w:r>
      <w:r>
        <w:rPr>
          <w:rFonts w:ascii="Arial" w:cs="Arial" w:eastAsia="Arial" w:hAnsi="Arial"/>
          <w:b/>
          <w:bCs/>
          <w:color w:val="1B2118"/>
          <w:sz w:val="21"/>
          <w:szCs w:val="21"/>
        </w:rPr>
        <w:t xml:space="preserve">% di differenziata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4. Risultati.</w:t>
      </w:r>
      <w:r>
        <w:rPr>
          <w:rFonts w:ascii="Arial" w:cs="Arial" w:eastAsia="Arial" w:hAnsi="Arial"/>
          <w:color w:val="1B2118"/>
          <w:sz w:val="21"/>
          <w:szCs w:val="21"/>
        </w:rPr>
        <w:t xml:space="preserve"> Si aggiornano a ogni modifica:</w:t>
      </w:r>
    </w:p>
    <w:p>
      <w:pPr>
        <w:pStyle w:val="ListParagraph"/>
        <w:numPr>
          <w:ilvl w:val="0"/>
          <w:numId w:val="2"/>
        </w:numPr>
        <w:spacing w:after="70" w:line="290"/>
      </w:pPr>
      <w:r>
        <w:rPr>
          <w:rFonts w:ascii="Arial" w:cs="Arial" w:eastAsia="Arial" w:hAnsi="Arial"/>
          <w:color w:val="1B2118"/>
          <w:sz w:val="21"/>
          <w:szCs w:val="21"/>
        </w:rPr>
        <w:t xml:space="preserve">crediti netti stimati nel periodo e media annua, % di differenziata dell'ultimo anno, rifiuti evitati;</w:t>
      </w:r>
    </w:p>
    <w:p>
      <w:pPr>
        <w:pStyle w:val="ListParagraph"/>
        <w:numPr>
          <w:ilvl w:val="0"/>
          <w:numId w:val="2"/>
        </w:numPr>
        <w:spacing w:after="70" w:line="290"/>
      </w:pPr>
      <w:r>
        <w:rPr>
          <w:rFonts w:ascii="Arial" w:cs="Arial" w:eastAsia="Arial" w:hAnsi="Arial"/>
          <w:color w:val="1B2118"/>
          <w:sz w:val="21"/>
          <w:szCs w:val="21"/>
        </w:rPr>
        <w:t xml:space="preserve">grafico dei crediti netti per anno e grafico della % di differenziata rispetto all'anno base;</w:t>
      </w:r>
    </w:p>
    <w:p>
      <w:pPr>
        <w:pStyle w:val="ListParagraph"/>
        <w:numPr>
          <w:ilvl w:val="0"/>
          <w:numId w:val="2"/>
        </w:numPr>
        <w:spacing w:after="70" w:line="290"/>
      </w:pPr>
      <w:r>
        <w:rPr>
          <w:rFonts w:ascii="Arial" w:cs="Arial" w:eastAsia="Arial" w:hAnsi="Arial"/>
          <w:color w:val="1B2118"/>
          <w:sz w:val="21"/>
          <w:szCs w:val="21"/>
        </w:rPr>
        <w:t xml:space="preserve">riquadro </w:t>
      </w:r>
      <w:r>
        <w:rPr>
          <w:rFonts w:ascii="Arial" w:cs="Arial" w:eastAsia="Arial" w:hAnsi="Arial"/>
          <w:b/>
          <w:bCs/>
          <w:color w:val="1B2118"/>
          <w:sz w:val="21"/>
          <w:szCs w:val="21"/>
        </w:rPr>
        <w:t xml:space="preserve">Per abitante all'anno</w:t>
      </w:r>
      <w:r>
        <w:rPr>
          <w:rFonts w:ascii="Arial" w:cs="Arial" w:eastAsia="Arial" w:hAnsi="Arial"/>
          <w:color w:val="1B2118"/>
          <w:sz w:val="21"/>
          <w:szCs w:val="21"/>
        </w:rPr>
        <w:t xml:space="preserve">: crediti netti medi per abitante, da confrontare con le stime dei contratti (Allegato A EsaCom: 0,19-0,23);</w:t>
      </w:r>
    </w:p>
    <w:p>
      <w:pPr>
        <w:pStyle w:val="ListParagraph"/>
        <w:numPr>
          <w:ilvl w:val="0"/>
          <w:numId w:val="2"/>
        </w:numPr>
        <w:spacing w:after="70" w:line="290"/>
      </w:pPr>
      <w:r>
        <w:rPr>
          <w:rFonts w:ascii="Arial" w:cs="Arial" w:eastAsia="Arial" w:hAnsi="Arial"/>
          <w:color w:val="1B2118"/>
          <w:sz w:val="21"/>
          <w:szCs w:val="21"/>
        </w:rPr>
        <w:t xml:space="preserve">tabella anno per anno: produzione, scenario di riferimento, rifiuti evitati, crediti lordi, buffer, crediti netti e cumulati; con il metodo per utenza anche la colonna </w:t>
      </w:r>
      <w:r>
        <w:rPr>
          <w:rFonts w:ascii="Arial" w:cs="Arial" w:eastAsia="Arial" w:hAnsi="Arial"/>
          <w:b/>
          <w:bCs/>
          <w:color w:val="1B2118"/>
          <w:sz w:val="21"/>
          <w:szCs w:val="21"/>
        </w:rPr>
        <w:t xml:space="preserve">Bilancio del Comune</w:t>
      </w:r>
      <w:r>
        <w:rPr>
          <w:rFonts w:ascii="Arial" w:cs="Arial" w:eastAsia="Arial" w:hAnsi="Arial"/>
          <w:color w:val="1B2118"/>
          <w:sz w:val="21"/>
          <w:szCs w:val="21"/>
        </w:rPr>
        <w:t xml:space="preserve">, per confronto;</w:t>
      </w:r>
    </w:p>
    <w:p>
      <w:pPr>
        <w:pStyle w:val="ListParagraph"/>
        <w:numPr>
          <w:ilvl w:val="0"/>
          <w:numId w:val="2"/>
        </w:numPr>
        <w:spacing w:after="70" w:line="290"/>
      </w:pPr>
      <w:r>
        <w:rPr>
          <w:rFonts w:ascii="Arial" w:cs="Arial" w:eastAsia="Arial" w:hAnsi="Arial"/>
          <w:color w:val="1B2118"/>
          <w:sz w:val="21"/>
          <w:szCs w:val="21"/>
        </w:rPr>
        <w:t xml:space="preserve">eventuali avvisi (dati mancanti, secco superiore al totale).</w:t>
      </w:r>
    </w:p>
    <w:p>
      <w:pPr>
        <w:spacing w:after="140" w:line="30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per conservare lo scenario: nell'elenco </w:t>
      </w:r>
      <w:r>
        <w:rPr>
          <w:rFonts w:ascii="Arial" w:cs="Arial" w:eastAsia="Arial" w:hAnsi="Arial"/>
          <w:i/>
          <w:iCs/>
          <w:color w:val="1B2118"/>
          <w:sz w:val="21"/>
          <w:szCs w:val="21"/>
        </w:rPr>
        <w:t xml:space="preserve">Scenari per Comune</w:t>
      </w:r>
      <w:r>
        <w:rPr>
          <w:rFonts w:ascii="Arial" w:cs="Arial" w:eastAsia="Arial" w:hAnsi="Arial"/>
          <w:color w:val="1B2118"/>
          <w:sz w:val="21"/>
          <w:szCs w:val="21"/>
        </w:rPr>
        <w:t xml:space="preserve"> compaiono, per confrontarli, la % di differenziata finale e i crediti netti stimati di ogni scenario. Per consegnare o presentare lo scenario al Comune:</w:t>
      </w:r>
    </w:p>
    <w:p>
      <w:pPr>
        <w:pStyle w:val="ListParagraph"/>
        <w:numPr>
          <w:ilvl w:val="0"/>
          <w:numId w:val="2"/>
        </w:numPr>
        <w:spacing w:after="70" w:line="290"/>
      </w:pPr>
      <w:r>
        <w:rPr>
          <w:rFonts w:ascii="Arial" w:cs="Arial" w:eastAsia="Arial" w:hAnsi="Arial"/>
          <w:b/>
          <w:bCs/>
          <w:color w:val="1B2118"/>
          <w:sz w:val="21"/>
          <w:szCs w:val="21"/>
        </w:rPr>
        <w:t xml:space="preserve">Scarica PDF</w:t>
      </w:r>
      <w:r>
        <w:rPr>
          <w:rFonts w:ascii="Arial" w:cs="Arial" w:eastAsia="Arial" w:hAnsi="Arial"/>
          <w:color w:val="1B2118"/>
          <w:sz w:val="21"/>
          <w:szCs w:val="21"/>
        </w:rPr>
        <w:t xml:space="preserve">: un rapporto impaginato in A4 orizzontale con </w:t>
      </w:r>
      <w:r>
        <w:rPr>
          <w:rFonts w:ascii="Arial" w:cs="Arial" w:eastAsia="Arial" w:hAnsi="Arial"/>
          <w:b/>
          <w:bCs/>
          <w:color w:val="1B2118"/>
          <w:sz w:val="21"/>
          <w:szCs w:val="21"/>
        </w:rPr>
        <w:t xml:space="preserve">tutti i dati della pagina</w:t>
      </w:r>
      <w:r>
        <w:rPr>
          <w:rFonts w:ascii="Arial" w:cs="Arial" w:eastAsia="Arial" w:hAnsi="Arial"/>
          <w:color w:val="1B2118"/>
          <w:sz w:val="21"/>
          <w:szCs w:val="21"/>
        </w:rPr>
        <w:t xml:space="preserve">, sezione per sezione. Contiene:</w:t>
      </w:r>
    </w:p>
    <w:p>
      <w:pPr>
        <w:pStyle w:val="ListParagraph"/>
        <w:numPr>
          <w:ilvl w:val="1"/>
          <w:numId w:val="2"/>
        </w:numPr>
        <w:spacing w:after="70" w:line="290"/>
      </w:pPr>
      <w:r>
        <w:rPr>
          <w:rFonts w:ascii="Arial" w:cs="Arial" w:eastAsia="Arial" w:hAnsi="Arial"/>
          <w:color w:val="1B2118"/>
          <w:sz w:val="20"/>
          <w:szCs w:val="20"/>
        </w:rPr>
        <w:t xml:space="preserve">i loghi, la scheda dello scenario, l'avvertenza «stima ex ante» e gli indicatori di sintesi;</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grafici</w:t>
      </w:r>
      <w:r>
        <w:rPr>
          <w:rFonts w:ascii="Arial" w:cs="Arial" w:eastAsia="Arial" w:hAnsi="Arial"/>
          <w:color w:val="1B2118"/>
          <w:sz w:val="20"/>
          <w:szCs w:val="20"/>
        </w:rPr>
        <w:t xml:space="preserve">: crediti netti per anno, raccolta differenziata con la soglia del 65%, margine netto per anno e margine cumulato;</w:t>
      </w:r>
    </w:p>
    <w:p>
      <w:pPr>
        <w:pStyle w:val="ListParagraph"/>
        <w:numPr>
          <w:ilvl w:val="1"/>
          <w:numId w:val="2"/>
        </w:numPr>
        <w:spacing w:after="70" w:line="290"/>
      </w:pPr>
      <w:r>
        <w:rPr>
          <w:rFonts w:ascii="Arial" w:cs="Arial" w:eastAsia="Arial" w:hAnsi="Arial"/>
          <w:color w:val="1B2118"/>
          <w:sz w:val="20"/>
          <w:szCs w:val="20"/>
        </w:rPr>
        <w:t xml:space="preserve">le </w:t>
      </w:r>
      <w:r>
        <w:rPr>
          <w:rFonts w:ascii="Arial" w:cs="Arial" w:eastAsia="Arial" w:hAnsi="Arial"/>
          <w:b/>
          <w:bCs/>
          <w:color w:val="1B2118"/>
          <w:sz w:val="20"/>
          <w:szCs w:val="20"/>
        </w:rPr>
        <w:t xml:space="preserve">impostazioni</w:t>
      </w:r>
      <w:r>
        <w:rPr>
          <w:rFonts w:ascii="Arial" w:cs="Arial" w:eastAsia="Arial" w:hAnsi="Arial"/>
          <w:color w:val="1B2118"/>
          <w:sz w:val="20"/>
          <w:szCs w:val="20"/>
        </w:rPr>
        <w:t xml:space="preserve"> (metodo di stima, buffer previsto, Tabelle 15 e 16, tariffa puntuale) con il buffer calcolato secondo il Capitolo 7;</w:t>
      </w:r>
    </w:p>
    <w:p>
      <w:pPr>
        <w:pStyle w:val="ListParagraph"/>
        <w:numPr>
          <w:ilvl w:val="1"/>
          <w:numId w:val="2"/>
        </w:numPr>
        <w:spacing w:after="70" w:line="290"/>
      </w:pPr>
      <w:r>
        <w:rPr>
          <w:rFonts w:ascii="Arial" w:cs="Arial" w:eastAsia="Arial" w:hAnsi="Arial"/>
          <w:color w:val="1B2118"/>
          <w:sz w:val="20"/>
          <w:szCs w:val="20"/>
        </w:rPr>
        <w:t xml:space="preserve">lo </w:t>
      </w:r>
      <w:r>
        <w:rPr>
          <w:rFonts w:ascii="Arial" w:cs="Arial" w:eastAsia="Arial" w:hAnsi="Arial"/>
          <w:b/>
          <w:bCs/>
          <w:color w:val="1B2118"/>
          <w:sz w:val="20"/>
          <w:szCs w:val="20"/>
        </w:rPr>
        <w:t xml:space="preserve">scenario di riferimento</w:t>
      </w:r>
      <w:r>
        <w:rPr>
          <w:rFonts w:ascii="Arial" w:cs="Arial" w:eastAsia="Arial" w:hAnsi="Arial"/>
          <w:color w:val="1B2118"/>
          <w:sz w:val="20"/>
          <w:szCs w:val="20"/>
        </w:rPr>
        <w:t xml:space="preserve"> con i rifiuti di ogni tipologia (tonnellate e kg per abitante) e il riepilogo, la </w:t>
      </w:r>
      <w:r>
        <w:rPr>
          <w:rFonts w:ascii="Arial" w:cs="Arial" w:eastAsia="Arial" w:hAnsi="Arial"/>
          <w:b/>
          <w:bCs/>
          <w:color w:val="1B2118"/>
          <w:sz w:val="20"/>
          <w:szCs w:val="20"/>
        </w:rPr>
        <w:t xml:space="preserve">situazione attuale</w:t>
      </w:r>
      <w:r>
        <w:rPr>
          <w:rFonts w:ascii="Arial" w:cs="Arial" w:eastAsia="Arial" w:hAnsi="Arial"/>
          <w:color w:val="1B2118"/>
          <w:sz w:val="20"/>
          <w:szCs w:val="20"/>
        </w:rPr>
        <w:t xml:space="preserve"> e gli </w:t>
      </w:r>
      <w:r>
        <w:rPr>
          <w:rFonts w:ascii="Arial" w:cs="Arial" w:eastAsia="Arial" w:hAnsi="Arial"/>
          <w:b/>
          <w:bCs/>
          <w:color w:val="1B2118"/>
          <w:sz w:val="20"/>
          <w:szCs w:val="20"/>
        </w:rPr>
        <w:t xml:space="preserve">obiettivi anno per anno</w:t>
      </w:r>
      <w:r>
        <w:rPr>
          <w:rFonts w:ascii="Arial" w:cs="Arial" w:eastAsia="Arial" w:hAnsi="Arial"/>
          <w:color w:val="1B2118"/>
          <w:sz w:val="20"/>
          <w:szCs w:val="20"/>
        </w:rPr>
        <w:t xml:space="preserve">;</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risultati</w:t>
      </w:r>
      <w:r>
        <w:rPr>
          <w:rFonts w:ascii="Arial" w:cs="Arial" w:eastAsia="Arial" w:hAnsi="Arial"/>
          <w:color w:val="1B2118"/>
          <w:sz w:val="20"/>
          <w:szCs w:val="20"/>
        </w:rPr>
        <w:t xml:space="preserve"> anno per anno con la riga del totale e la spiegazione «da dove vengono i crediti»;</w:t>
      </w:r>
    </w:p>
    <w:p>
      <w:pPr>
        <w:pStyle w:val="ListParagraph"/>
        <w:numPr>
          <w:ilvl w:val="1"/>
          <w:numId w:val="2"/>
        </w:numPr>
        <w:spacing w:after="70" w:line="290"/>
      </w:pPr>
      <w:r>
        <w:rPr>
          <w:rFonts w:ascii="Arial" w:cs="Arial" w:eastAsia="Arial" w:hAnsi="Arial"/>
          <w:color w:val="1B2118"/>
          <w:sz w:val="20"/>
          <w:szCs w:val="20"/>
        </w:rPr>
        <w:t xml:space="preserve">la </w:t>
      </w:r>
      <w:r>
        <w:rPr>
          <w:rFonts w:ascii="Arial" w:cs="Arial" w:eastAsia="Arial" w:hAnsi="Arial"/>
          <w:b/>
          <w:bCs/>
          <w:color w:val="1B2118"/>
          <w:sz w:val="20"/>
          <w:szCs w:val="20"/>
        </w:rPr>
        <w:t xml:space="preserve">parte economica</w:t>
      </w:r>
      <w:r>
        <w:rPr>
          <w:rFonts w:ascii="Arial" w:cs="Arial" w:eastAsia="Arial" w:hAnsi="Arial"/>
          <w:color w:val="1B2118"/>
          <w:sz w:val="20"/>
          <w:szCs w:val="20"/>
        </w:rPr>
        <w:t xml:space="preserve">: parametri inseriti (valore del credito, variazione annua, costi dell'ente e altri costi), costi del Caso 1 o 2 con il totale annuo, ricavi, costi e margine anno per anno;</w:t>
      </w:r>
    </w:p>
    <w:p>
      <w:pPr>
        <w:pStyle w:val="ListParagraph"/>
        <w:numPr>
          <w:ilvl w:val="1"/>
          <w:numId w:val="2"/>
        </w:numPr>
        <w:spacing w:after="70" w:line="290"/>
      </w:pPr>
      <w:r>
        <w:rPr>
          <w:rFonts w:ascii="Arial" w:cs="Arial" w:eastAsia="Arial" w:hAnsi="Arial"/>
          <w:color w:val="1B2118"/>
          <w:sz w:val="20"/>
          <w:szCs w:val="20"/>
        </w:rPr>
        <w:t xml:space="preserve">le note, gli avvisi e i numeri di pagina;</w:t>
      </w:r>
    </w:p>
    <w:p>
      <w:pPr>
        <w:pStyle w:val="ListParagraph"/>
        <w:numPr>
          <w:ilvl w:val="0"/>
          <w:numId w:val="2"/>
        </w:numPr>
        <w:spacing w:after="70" w:line="290"/>
      </w:pPr>
      <w:r>
        <w:rPr>
          <w:rFonts w:ascii="Arial" w:cs="Arial" w:eastAsia="Arial" w:hAnsi="Arial"/>
          <w:b/>
          <w:bCs/>
          <w:color w:val="1B2118"/>
          <w:sz w:val="21"/>
          <w:szCs w:val="21"/>
        </w:rPr>
        <w:t xml:space="preserve">Esporta Excel</w:t>
      </w:r>
      <w:r>
        <w:rPr>
          <w:rFonts w:ascii="Arial" w:cs="Arial" w:eastAsia="Arial" w:hAnsi="Arial"/>
          <w:color w:val="1B2118"/>
          <w:sz w:val="21"/>
          <w:szCs w:val="21"/>
        </w:rPr>
        <w:t xml:space="preserve">: un file .xlsx con i fogli </w:t>
      </w:r>
      <w:r>
        <w:rPr>
          <w:rFonts w:ascii="Arial" w:cs="Arial" w:eastAsia="Arial" w:hAnsi="Arial"/>
          <w:b/>
          <w:bCs/>
          <w:color w:val="1B2118"/>
          <w:sz w:val="21"/>
          <w:szCs w:val="21"/>
        </w:rPr>
        <w:t xml:space="preserve">Sintesi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Dati inseriti</w:t>
      </w:r>
      <w:r>
        <w:rPr>
          <w:rFonts w:ascii="Arial" w:cs="Arial" w:eastAsia="Arial" w:hAnsi="Arial"/>
          <w:color w:val="1B2118"/>
          <w:sz w:val="21"/>
          <w:szCs w:val="21"/>
        </w:rPr>
        <w:t xml:space="preserve"> (tutti i valori della pagina, per rifare la simulazione), </w:t>
      </w:r>
      <w:r>
        <w:rPr>
          <w:rFonts w:ascii="Arial" w:cs="Arial" w:eastAsia="Arial" w:hAnsi="Arial"/>
          <w:b/>
          <w:bCs/>
          <w:color w:val="1B2118"/>
          <w:sz w:val="21"/>
          <w:szCs w:val="21"/>
        </w:rPr>
        <w:t xml:space="preserve">Anni</w:t>
      </w:r>
      <w:r>
        <w:rPr>
          <w:rFonts w:ascii="Arial" w:cs="Arial" w:eastAsia="Arial" w:hAnsi="Arial"/>
          <w:color w:val="1B2118"/>
          <w:sz w:val="21"/>
          <w:szCs w:val="21"/>
        </w:rPr>
        <w:t xml:space="preserve"> (con il totale), </w:t>
      </w:r>
      <w:r>
        <w:rPr>
          <w:rFonts w:ascii="Arial" w:cs="Arial" w:eastAsia="Arial" w:hAnsi="Arial"/>
          <w:b/>
          <w:bCs/>
          <w:color w:val="1B2118"/>
          <w:sz w:val="21"/>
          <w:szCs w:val="21"/>
        </w:rPr>
        <w:t xml:space="preserve">Economia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Costi</w:t>
      </w:r>
      <w:r>
        <w:rPr>
          <w:rFonts w:ascii="Arial" w:cs="Arial" w:eastAsia="Arial" w:hAnsi="Arial"/>
          <w:color w:val="1B2118"/>
          <w:sz w:val="21"/>
          <w:szCs w:val="21"/>
        </w:rPr>
        <w:t xml:space="preserve">; i numeri restano numeri, quindi si possono sommare, ordinare e usare nei grafici;</w:t>
      </w:r>
    </w:p>
    <w:p>
      <w:pPr>
        <w:pStyle w:val="ListParagraph"/>
        <w:numPr>
          <w:ilvl w:val="0"/>
          <w:numId w:val="2"/>
        </w:numPr>
        <w:spacing w:after="70" w:line="290"/>
      </w:pPr>
      <w:r>
        <w:rPr>
          <w:rFonts w:ascii="Arial" w:cs="Arial" w:eastAsia="Arial" w:hAnsi="Arial"/>
          <w:b/>
          <w:bCs/>
          <w:color w:val="1B2118"/>
          <w:sz w:val="21"/>
          <w:szCs w:val="21"/>
        </w:rPr>
        <w:t xml:space="preserve">CSV</w:t>
      </w:r>
      <w:r>
        <w:rPr>
          <w:rFonts w:ascii="Arial" w:cs="Arial" w:eastAsia="Arial" w:hAnsi="Arial"/>
          <w:color w:val="1B2118"/>
          <w:sz w:val="21"/>
          <w:szCs w:val="21"/>
        </w:rPr>
        <w:t xml:space="preserve">: la tabella in formato testo, per altri programmi.</w:t>
      </w:r>
    </w:p>
    <w:p>
      <w:pPr>
        <w:spacing w:after="140" w:line="300"/>
      </w:pPr>
      <w:r>
        <w:rPr>
          <w:rFonts w:ascii="Arial" w:cs="Arial" w:eastAsia="Arial" w:hAnsi="Arial"/>
          <w:color w:val="1B2118"/>
          <w:sz w:val="21"/>
          <w:szCs w:val="21"/>
        </w:rPr>
        <w:t xml:space="preserve">PDF ed Excel contengono le stesse tabelle. Prima di scaricarli salvate lo scenario, così file e portale coincidono.</w:t>
      </w:r>
    </w:p>
    <w:p>
      <w:pPr>
        <w:spacing w:after="140" w:line="300"/>
      </w:pPr>
      <w:r>
        <w:rPr>
          <w:rFonts w:ascii="Arial" w:cs="Arial" w:eastAsia="Arial" w:hAnsi="Arial"/>
          <w:b/>
          <w:bCs/>
          <w:color w:val="1B2118"/>
          <w:sz w:val="21"/>
          <w:szCs w:val="21"/>
        </w:rPr>
        <w:t xml:space="preserve">5. Simulazione economica: ricavi e costi per il Comune.</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valore del credito</w:t>
      </w:r>
      <w:r>
        <w:rPr>
          <w:rFonts w:ascii="Arial" w:cs="Arial" w:eastAsia="Arial" w:hAnsi="Arial"/>
          <w:color w:val="1B2118"/>
          <w:sz w:val="21"/>
          <w:szCs w:val="21"/>
        </w:rPr>
        <w:t xml:space="preserve"> (€ per credito; un credito è una tonnellata di CO₂eq) si digita </w:t>
      </w:r>
      <w:r>
        <w:rPr>
          <w:rFonts w:ascii="Arial" w:cs="Arial" w:eastAsia="Arial" w:hAnsi="Arial"/>
          <w:b/>
          <w:bCs/>
          <w:color w:val="1B2118"/>
          <w:sz w:val="21"/>
          <w:szCs w:val="21"/>
        </w:rPr>
        <w:t xml:space="preserve">anno per anno</w:t>
      </w:r>
      <w:r>
        <w:rPr>
          <w:rFonts w:ascii="Arial" w:cs="Arial" w:eastAsia="Arial" w:hAnsi="Arial"/>
          <w:color w:val="1B2118"/>
          <w:sz w:val="21"/>
          <w:szCs w:val="21"/>
        </w:rPr>
        <w:t xml:space="preserve"> nella colonna «Valore» della tabella. Il portale propone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compilare tutti gli anni insieme indicate il valore proposto e, se volete, una variazione annua, poi premete </w:t>
      </w:r>
      <w:r>
        <w:rPr>
          <w:rFonts w:ascii="Arial" w:cs="Arial" w:eastAsia="Arial" w:hAnsi="Arial"/>
          <w:b/>
          <w:bCs/>
          <w:color w:val="1B2118"/>
          <w:sz w:val="21"/>
          <w:szCs w:val="21"/>
        </w:rPr>
        <w:t xml:space="preserve">Applica a tutti gli anni</w:t>
      </w:r>
      <w:r>
        <w:rPr>
          <w:rFonts w:ascii="Arial" w:cs="Arial" w:eastAsia="Arial" w:hAnsi="Arial"/>
          <w:color w:val="1B2118"/>
          <w:sz w:val="21"/>
          <w:szCs w:val="21"/>
        </w:rPr>
        <w:t xml:space="preserve">; correggete poi i singoli anni. Poi il simulatore chiede: </w:t>
      </w:r>
      <w:r>
        <w:rPr>
          <w:rFonts w:ascii="Arial" w:cs="Arial" w:eastAsia="Arial" w:hAnsi="Arial"/>
          <w:b/>
          <w:bCs/>
          <w:color w:val="1B2118"/>
          <w:sz w:val="21"/>
          <w:szCs w:val="21"/>
        </w:rPr>
        <w:t xml:space="preserve">«Simulare i costi in base al Caso 1 o al Caso 2?»</w:t>
      </w:r>
      <w:r>
        <w:rPr>
          <w:rFonts w:ascii="Arial" w:cs="Arial" w:eastAsia="Arial" w:hAnsi="Arial"/>
          <w:color w:val="1B2118"/>
          <w:sz w:val="21"/>
          <w:szCs w:val="21"/>
        </w:rPr>
        <w:t xml:space="preserve">. Sono le tabelle «Costi per il Soggetto Promotore» di Fondazione Operate (28/07/2026), IVA esclusa, per progetti di 10 anni:</w:t>
      </w:r>
    </w:p>
    <w:p>
      <w:pPr>
        <w:pStyle w:val="ListParagraph"/>
        <w:numPr>
          <w:ilvl w:val="0"/>
          <w:numId w:val="2"/>
        </w:numPr>
        <w:spacing w:after="70" w:line="290"/>
      </w:pP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il Comune o il gestore aderisce di propria iniziativa;</w:t>
      </w:r>
    </w:p>
    <w:p>
      <w:pPr>
        <w:pStyle w:val="ListParagraph"/>
        <w:numPr>
          <w:ilvl w:val="0"/>
          <w:numId w:val="2"/>
        </w:numPr>
        <w:spacing w:after="70" w:line="290"/>
      </w:pPr>
      <w:r>
        <w:rPr>
          <w:rFonts w:ascii="Arial" w:cs="Arial" w:eastAsia="Arial" w:hAnsi="Arial"/>
          <w:b/>
          <w:bCs/>
          <w:color w:val="1B2118"/>
          <w:sz w:val="21"/>
          <w:szCs w:val="21"/>
        </w:rPr>
        <w:t xml:space="preserve">Caso 2 – Progetto obbligatorio</w:t>
      </w:r>
      <w:r>
        <w:rPr>
          <w:rFonts w:ascii="Arial" w:cs="Arial" w:eastAsia="Arial" w:hAnsi="Arial"/>
          <w:color w:val="1B2118"/>
          <w:sz w:val="21"/>
          <w:szCs w:val="21"/>
        </w:rPr>
        <w:t xml:space="preserve">: il progetto arriva da un bando di gara di un Comune che ha inserito il CWP come metodo; le tariffe sono più alte.</w:t>
      </w:r>
    </w:p>
    <w:p>
      <w:pPr>
        <w:spacing w:after="140" w:line="300"/>
      </w:pPr>
      <w:r>
        <w:rPr>
          <w:rFonts w:ascii="Arial" w:cs="Arial" w:eastAsia="Arial" w:hAnsi="Arial"/>
          <w:color w:val="1B2118"/>
          <w:sz w:val="21"/>
          <w:szCs w:val="21"/>
        </w:rPr>
        <w:t xml:space="preserve">Per ogni attività (Progetto, Rapporto di Monitoraggio, registrazione del Progetto, dei crediti del Progetto, del Rapporto e dei crediti del Rapporto) il portale calcola il costo per abitante in base alla popolazione: valori fissi fino a 5.000 abitanti e oltre 100.000, </w:t>
      </w:r>
      <w:r>
        <w:rPr>
          <w:rFonts w:ascii="Arial" w:cs="Arial" w:eastAsia="Arial" w:hAnsi="Arial"/>
          <w:b/>
          <w:bCs/>
          <w:color w:val="1B2118"/>
          <w:sz w:val="21"/>
          <w:szCs w:val="21"/>
        </w:rPr>
        <w:t xml:space="preserve">interpolati</w:t>
      </w:r>
      <w:r>
        <w:rPr>
          <w:rFonts w:ascii="Arial" w:cs="Arial" w:eastAsia="Arial" w:hAnsi="Arial"/>
          <w:color w:val="1B2118"/>
          <w:sz w:val="21"/>
          <w:szCs w:val="21"/>
        </w:rPr>
        <w:t xml:space="preserve"> tra 5.000 e 20.000 e tra 20.000 e 100.000 abitanti, arrotondati per eccesso al centesimo. Il costo annuo è il costo per abitante × la popolazione, mai sotto il </w:t>
      </w:r>
      <w:r>
        <w:rPr>
          <w:rFonts w:ascii="Arial" w:cs="Arial" w:eastAsia="Arial" w:hAnsi="Arial"/>
          <w:b/>
          <w:bCs/>
          <w:color w:val="1B2118"/>
          <w:sz w:val="21"/>
          <w:szCs w:val="21"/>
        </w:rPr>
        <w:t xml:space="preserve">minimo</w:t>
      </w:r>
      <w:r>
        <w:rPr>
          <w:rFonts w:ascii="Arial" w:cs="Arial" w:eastAsia="Arial" w:hAnsi="Arial"/>
          <w:color w:val="1B2118"/>
          <w:sz w:val="21"/>
          <w:szCs w:val="21"/>
        </w:rPr>
        <w:t xml:space="preserve"> né sopra il </w:t>
      </w:r>
      <w:r>
        <w:rPr>
          <w:rFonts w:ascii="Arial" w:cs="Arial" w:eastAsia="Arial" w:hAnsi="Arial"/>
          <w:b/>
          <w:bCs/>
          <w:color w:val="1B2118"/>
          <w:sz w:val="21"/>
          <w:szCs w:val="21"/>
        </w:rPr>
        <w:t xml:space="preserve">massimo</w:t>
      </w:r>
      <w:r>
        <w:rPr>
          <w:rFonts w:ascii="Arial" w:cs="Arial" w:eastAsia="Arial" w:hAnsi="Arial"/>
          <w:color w:val="1B2118"/>
          <w:sz w:val="21"/>
          <w:szCs w:val="21"/>
        </w:rPr>
        <w:t xml:space="preserve"> annuo della tabella. Le voci </w:t>
      </w:r>
      <w:r>
        <w:rPr>
          <w:rFonts w:ascii="Arial" w:cs="Arial" w:eastAsia="Arial" w:hAnsi="Arial"/>
          <w:b/>
          <w:bCs/>
          <w:color w:val="1B2118"/>
          <w:sz w:val="21"/>
          <w:szCs w:val="21"/>
        </w:rPr>
        <w:t xml:space="preserve">una tantum</w:t>
      </w:r>
      <w:r>
        <w:rPr>
          <w:rFonts w:ascii="Arial" w:cs="Arial" w:eastAsia="Arial" w:hAnsi="Arial"/>
          <w:color w:val="1B2118"/>
          <w:sz w:val="21"/>
          <w:szCs w:val="21"/>
        </w:rPr>
        <w:t xml:space="preserve"> (Progetto, Registrazione Progetto, Registrazione Crediti Progetto) sono un corrispettivo unico e forfettario pagato in </w:t>
      </w:r>
      <w:r>
        <w:rPr>
          <w:rFonts w:ascii="Arial" w:cs="Arial" w:eastAsia="Arial" w:hAnsi="Arial"/>
          <w:b/>
          <w:bCs/>
          <w:color w:val="1B2118"/>
          <w:sz w:val="21"/>
          <w:szCs w:val="21"/>
        </w:rPr>
        <w:t xml:space="preserve">10 rate annuali</w:t>
      </w:r>
      <w:r>
        <w:rPr>
          <w:rFonts w:ascii="Arial" w:cs="Arial" w:eastAsia="Arial" w:hAnsi="Arial"/>
          <w:color w:val="1B2118"/>
          <w:sz w:val="21"/>
          <w:szCs w:val="21"/>
        </w:rPr>
        <w:t xml:space="preserve"> uguali (contratti di consulenza e di partecipazione): l'importo in tabella è la rata annua e la nota sotto la tabella lo spiega, anche nel PDF e nell'Excel. Una tabella mostra le sei voci con € per abitante, € all'anno e il totale annuo. Le tabelle non comprendono la validazione dell'ente. Per progetti di durata diversa da 10 anni la regola non è ancora stabilita: compaiono il riquadro rosso </w:t>
      </w:r>
      <w:r>
        <w:rPr>
          <w:rFonts w:ascii="Arial" w:cs="Arial" w:eastAsia="Arial" w:hAnsi="Arial"/>
          <w:b/>
          <w:bCs/>
          <w:color w:val="1B2118"/>
          <w:sz w:val="21"/>
          <w:szCs w:val="21"/>
        </w:rPr>
        <w:t xml:space="preserve">Stima, non listino approvato</w:t>
      </w:r>
      <w:r>
        <w:rPr>
          <w:rFonts w:ascii="Arial" w:cs="Arial" w:eastAsia="Arial" w:hAnsi="Arial"/>
          <w:color w:val="1B2118"/>
          <w:sz w:val="21"/>
          <w:szCs w:val="21"/>
        </w:rPr>
        <w:t xml:space="preserve">, l'avviso e la casella «Costi per il Comune nel periodo (stima)»; nel PDF e nell'Excel la riga «ATTENZIONE» sopra la tabella annuale.</w:t>
      </w:r>
    </w:p>
    <w:p>
      <w:pPr>
        <w:spacing w:after="140" w:line="300"/>
      </w:pPr>
      <w:r>
        <w:rPr>
          <w:rFonts w:ascii="Arial" w:cs="Arial" w:eastAsia="Arial" w:hAnsi="Arial"/>
          <w:color w:val="1B2118"/>
          <w:sz w:val="21"/>
          <w:szCs w:val="21"/>
        </w:rPr>
        <w:t xml:space="preserve">In alternativa si può scegliere lo </w:t>
      </w:r>
      <w:r>
        <w:rPr>
          <w:rFonts w:ascii="Arial" w:cs="Arial" w:eastAsia="Arial" w:hAnsi="Arial"/>
          <w:b/>
          <w:bCs/>
          <w:color w:val="1B2118"/>
          <w:sz w:val="21"/>
          <w:szCs w:val="21"/>
        </w:rPr>
        <w:t xml:space="preserve">Schema tariffario</w:t>
      </w:r>
      <w:r>
        <w:rPr>
          <w:rFonts w:ascii="Arial" w:cs="Arial" w:eastAsia="Arial" w:hAnsi="Arial"/>
          <w:color w:val="1B2118"/>
          <w:sz w:val="21"/>
          <w:szCs w:val="21"/>
        </w:rPr>
        <w:t xml:space="preserve"> (tariffe massime pubblicate) o </w:t>
      </w:r>
      <w:r>
        <w:rPr>
          <w:rFonts w:ascii="Arial" w:cs="Arial" w:eastAsia="Arial" w:hAnsi="Arial"/>
          <w:b/>
          <w:bCs/>
          <w:color w:val="1B2118"/>
          <w:sz w:val="21"/>
          <w:szCs w:val="21"/>
        </w:rPr>
        <w:t xml:space="preserve">nessuna tariffa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In tutti i casi potete aggiungere il costo dell'ente di validazione (una tantum), della verifica annuale e altri costi annui. Per ogni anno compaiono crediti, valore, ricavi, partecipazione al Programma (registrazioni), consulenza (redazione di Progetto e Rapporto), ente, altri costi, costi totali, margine e cumulato; in alto ricavi, costi, margine netto con l'anno di rientro e </w:t>
      </w:r>
      <w:r>
        <w:rPr>
          <w:rFonts w:ascii="Arial" w:cs="Arial" w:eastAsia="Arial" w:hAnsi="Arial"/>
          <w:b/>
          <w:bCs/>
          <w:color w:val="1B2118"/>
          <w:sz w:val="21"/>
          <w:szCs w:val="21"/>
        </w:rPr>
        <w:t xml:space="preserve">costo e ricavo per abitante</w:t>
      </w:r>
      <w:r>
        <w:rPr>
          <w:rFonts w:ascii="Arial" w:cs="Arial" w:eastAsia="Arial" w:hAnsi="Arial"/>
          <w:color w:val="1B2118"/>
          <w:sz w:val="21"/>
          <w:szCs w:val="21"/>
        </w:rPr>
        <w:t xml:space="preserve"> nel periodo. È una stima indicativa, non un piano finanziario.</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il Caso 1 e 154.247 abitanti il simulatore riproduce le cifre dei contratti tipo EsaCom. Il simulatore stima meno crediti per abitante dell'Allegato A del contratto EsaCom, perché lavora sui totali del Comune e non per singola utenza: il metodo di stima va allineato.</w:t>
      </w:r>
    </w:p>
    <w:p>
      <w:pPr>
        <w:spacing w:after="120"/>
      </w:pPr>
    </w:p>
    <w:p>
      <w:pPr>
        <w:spacing w:after="140" w:line="300"/>
      </w:pPr>
      <w:r>
        <w:rPr>
          <w:rFonts w:ascii="Arial" w:cs="Arial" w:eastAsia="Arial" w:hAnsi="Arial"/>
          <w:b/>
          <w:bCs/>
          <w:color w:val="1B2118"/>
          <w:sz w:val="21"/>
          <w:szCs w:val="21"/>
        </w:rPr>
        <w:t xml:space="preserve">Come stima i crediti.</w:t>
      </w:r>
      <w:r>
        <w:rPr>
          <w:rFonts w:ascii="Arial" w:cs="Arial" w:eastAsia="Arial" w:hAnsi="Arial"/>
          <w:color w:val="1B2118"/>
          <w:sz w:val="21"/>
          <w:szCs w:val="21"/>
        </w:rPr>
        <w:t xml:space="preserve"> Il simulatore usa le formule della Metodologia CWP v1.2 a livello di Comune: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367"/>
      </w:tblGrid>
      <w:tr>
        <w:trPr>
          <w:tblHeader/>
        </w:trPr>
        <w:tc>
          <w:tcPr>
            <w:tcW w:type="dxa" w:w="22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3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Come si calcola</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 capite dell'anno di riferimento (o del cluster), per tipologia, × popolazione dell'anno</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simulato</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obiettivo + differenziata (totale − secco) ripartita con le proporzioni del riferimento</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Σ quantità × fattore di emissione (formule 13 e 25); per il secco la media dei fattori della differenziata (formule 16-17)</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Lordi = riduzione delle emissioni rispetto al riferimento; netti = lordi × (1 − buffer)</w:t>
            </w:r>
          </w:p>
        </w:tc>
      </w:tr>
    </w:tbl>
    <w:p>
      <w:pPr>
        <w:spacing w:after="160"/>
      </w:pP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queste formule i crediti nascono dai </w:t>
      </w:r>
      <w:r>
        <w:rPr>
          <w:rFonts w:ascii="Arial" w:cs="Arial" w:eastAsia="Arial" w:hAnsi="Arial"/>
          <w:b/>
          <w:bCs/>
          <w:color w:val="1B2118"/>
          <w:sz w:val="21"/>
          <w:szCs w:val="21"/>
        </w:rPr>
        <w:t xml:space="preserve">rifiuti evitati</w:t>
      </w:r>
      <w:r>
        <w:rPr>
          <w:rFonts w:ascii="Arial" w:cs="Arial" w:eastAsia="Arial" w:hAnsi="Arial"/>
          <w:color w:val="1B2118"/>
          <w:sz w:val="21"/>
          <w:szCs w:val="21"/>
        </w:rPr>
        <w:t xml:space="preserve">, cioè prodotti in meno rispetto allo scenario di riferimento: il riquadro </w:t>
      </w:r>
      <w:r>
        <w:rPr>
          <w:rFonts w:ascii="Arial" w:cs="Arial" w:eastAsia="Arial" w:hAnsi="Arial"/>
          <w:i/>
          <w:iCs/>
          <w:color w:val="1B2118"/>
          <w:sz w:val="21"/>
          <w:szCs w:val="21"/>
        </w:rPr>
        <w:t xml:space="preserve">Da dove vengono i crediti</w:t>
      </w:r>
      <w:r>
        <w:rPr>
          <w:rFonts w:ascii="Arial" w:cs="Arial" w:eastAsia="Arial" w:hAnsi="Arial"/>
          <w:color w:val="1B2118"/>
          <w:sz w:val="21"/>
          <w:szCs w:val="21"/>
        </w:rPr>
        <w:t xml:space="preserve"> indica quante tCO₂eq vale una tonnellata in meno per quel Comune. Spostare rifiuti dal secco alla differenziata alza la percentuale di raccolta differenziata ma, a parità di produzione totale, non genera crediti. Il modello semplificato va confermato dalla Fondazione.</w:t>
      </w:r>
    </w:p>
    <w:p>
      <w:pPr>
        <w:spacing w:after="120"/>
      </w:pPr>
    </w:p>
    <w:p>
      <w:pPr>
        <w:spacing w:after="140" w:line="300"/>
      </w:pPr>
      <w:r>
        <w:rPr>
          <w:rFonts w:ascii="Arial" w:cs="Arial" w:eastAsia="Arial" w:hAnsi="Arial"/>
          <w:b/>
          <w:bCs/>
          <w:color w:val="1B2118"/>
          <w:sz w:val="21"/>
          <w:szCs w:val="21"/>
        </w:rPr>
        <w:t xml:space="preserve">Conformità al modello CWP.</w:t>
      </w:r>
      <w:r>
        <w:rPr>
          <w:rFonts w:ascii="Arial" w:cs="Arial" w:eastAsia="Arial" w:hAnsi="Arial"/>
          <w:color w:val="1B2118"/>
          <w:sz w:val="21"/>
          <w:szCs w:val="21"/>
        </w:rPr>
        <w:t xml:space="preserve"> La stima ex ante a livello di Comune è ammessa dalla Metodologia (Capitolo 6.1, valori medi su tutte le utenze; Capitolo 6.2, emissioni di progetto ex ante «complessivamente a livello di Ente»). Il simulatore segue lo Standard per la durata (4.3.8), lo scenario di riferimento (4.8.1) e l'addizionalità (4.9.1), e la Metodologia per fattori di emissione (Tabelle 3-4), fattore del secco (formule 16-17), variazione di impatto e buffer (formule 31-32, Capitolo 7). I beni a riuso valgono zero, come chiede la Metodologia per la stima ex ante (Capitolo 6.1), e non ci sono perdite (leakage, Capitolo 6.3). Non sono considerati il primo anno parziale (formula 1) e la componente trasporto (Capitolo 9). Il calcolo per singola utenza resta quello ex post.</w:t>
      </w:r>
    </w:p>
    <w:p>
      <w:pPr>
        <w:spacing w:after="140" w:line="300"/>
      </w:pPr>
      <w:r>
        <w:rPr>
          <w:rFonts w:ascii="Arial" w:cs="Arial" w:eastAsia="Arial" w:hAnsi="Arial"/>
          <w:color w:val="1B2118"/>
          <w:sz w:val="21"/>
          <w:szCs w:val="21"/>
        </w:rPr>
        <w:t xml:space="preserve">Ogni creazione, modifica e cancellazione di uno scenario è registrata nell'audit. I Comuni non vedono gli scenari.</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6"/>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6"/>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6"/>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7"/>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8"/>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8"/>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9"/>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9"/>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4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40"/>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4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41"/>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41"/>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41"/>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4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Backup automatico</w:t>
      </w:r>
      <w:bookmarkEnd w:id="1"/>
    </w:p>
    <w:p>
      <w:pPr>
        <w:spacing w:after="140" w:line="300"/>
      </w:pPr>
      <w:r>
        <w:rPr>
          <w:rFonts w:ascii="Arial" w:cs="Arial" w:eastAsia="Arial" w:hAnsi="Arial"/>
          <w:color w:val="1B2118"/>
          <w:sz w:val="21"/>
          <w:szCs w:val="21"/>
        </w:rPr>
        <w:t xml:space="preserve">Ogni giorno, tra le 13 e le 14 e tra le 21 e le 22, un programma nell'account Google di Luca (Google Apps Script) copia tutto il portale in una nuova cartella </w:t>
      </w:r>
      <w:r>
        <w:rPr>
          <w:rFonts w:ascii="Arial" w:cs="Arial" w:eastAsia="Arial" w:hAnsi="Arial"/>
          <w:b/>
          <w:bCs/>
          <w:color w:val="1B2118"/>
          <w:sz w:val="21"/>
          <w:szCs w:val="21"/>
        </w:rPr>
        <w:t xml:space="preserve">Backup_CWP_aaaa-mm-gg_hhmm</w:t>
      </w:r>
      <w:r>
        <w:rPr>
          <w:rFonts w:ascii="Arial" w:cs="Arial" w:eastAsia="Arial" w:hAnsi="Arial"/>
          <w:color w:val="1B2118"/>
          <w:sz w:val="21"/>
          <w:szCs w:val="21"/>
        </w:rPr>
        <w:t xml:space="preserve">, dentro la cartella </w:t>
      </w:r>
      <w:r>
        <w:rPr>
          <w:rFonts w:ascii="Arial" w:cs="Arial" w:eastAsia="Arial" w:hAnsi="Arial"/>
          <w:b/>
          <w:bCs/>
          <w:color w:val="1B2118"/>
          <w:sz w:val="21"/>
          <w:szCs w:val="21"/>
        </w:rPr>
        <w:t xml:space="preserve">Cwp</w:t>
      </w:r>
      <w:r>
        <w:rPr>
          <w:rFonts w:ascii="Arial" w:cs="Arial" w:eastAsia="Arial" w:hAnsi="Arial"/>
          <w:color w:val="1B2118"/>
          <w:sz w:val="21"/>
          <w:szCs w:val="21"/>
        </w:rPr>
        <w:t xml:space="preserve"> del suo Drive:</w:t>
      </w:r>
    </w:p>
    <w:p>
      <w:pPr>
        <w:pStyle w:val="ListParagraph"/>
        <w:numPr>
          <w:ilvl w:val="0"/>
          <w:numId w:val="2"/>
        </w:numPr>
        <w:spacing w:after="70" w:line="290"/>
      </w:pPr>
      <w:r>
        <w:rPr>
          <w:rFonts w:ascii="Arial" w:cs="Arial" w:eastAsia="Arial" w:hAnsi="Arial"/>
          <w:color w:val="1B2118"/>
          <w:sz w:val="21"/>
          <w:szCs w:val="21"/>
        </w:rPr>
        <w:t xml:space="preserve">codice da GitHub;</w:t>
      </w:r>
    </w:p>
    <w:p>
      <w:pPr>
        <w:pStyle w:val="ListParagraph"/>
        <w:numPr>
          <w:ilvl w:val="0"/>
          <w:numId w:val="2"/>
        </w:numPr>
        <w:spacing w:after="70" w:line="290"/>
      </w:pPr>
      <w:r>
        <w:rPr>
          <w:rFonts w:ascii="Arial" w:cs="Arial" w:eastAsia="Arial" w:hAnsi="Arial"/>
          <w:color w:val="1B2118"/>
          <w:sz w:val="21"/>
          <w:szCs w:val="21"/>
        </w:rPr>
        <w:t xml:space="preserve">tutte le tabelle del database e gli utenti, senza password;</w:t>
      </w:r>
    </w:p>
    <w:p>
      <w:pPr>
        <w:pStyle w:val="ListParagraph"/>
        <w:numPr>
          <w:ilvl w:val="0"/>
          <w:numId w:val="2"/>
        </w:numPr>
        <w:spacing w:after="70" w:line="290"/>
      </w:pPr>
      <w:r>
        <w:rPr>
          <w:rFonts w:ascii="Arial" w:cs="Arial" w:eastAsia="Arial" w:hAnsi="Arial"/>
          <w:color w:val="1B2118"/>
          <w:sz w:val="21"/>
          <w:szCs w:val="21"/>
        </w:rPr>
        <w:t xml:space="preserve">tutti i file caricati;</w:t>
      </w:r>
    </w:p>
    <w:p>
      <w:pPr>
        <w:pStyle w:val="ListParagraph"/>
        <w:numPr>
          <w:ilvl w:val="0"/>
          <w:numId w:val="2"/>
        </w:numPr>
        <w:spacing w:after="70" w:line="290"/>
      </w:pPr>
      <w:r>
        <w:rPr>
          <w:rFonts w:ascii="Arial" w:cs="Arial" w:eastAsia="Arial" w:hAnsi="Arial"/>
          <w:color w:val="1B2118"/>
          <w:sz w:val="21"/>
          <w:szCs w:val="21"/>
        </w:rPr>
        <w:t xml:space="preserve">la configurazione di Supabase, Vercel e Resend, senza le chiavi;</w:t>
      </w:r>
    </w:p>
    <w:p>
      <w:pPr>
        <w:pStyle w:val="ListParagraph"/>
        <w:numPr>
          <w:ilvl w:val="0"/>
          <w:numId w:val="2"/>
        </w:numPr>
        <w:spacing w:after="70" w:line="290"/>
      </w:pPr>
      <w:r>
        <w:rPr>
          <w:rFonts w:ascii="Arial" w:cs="Arial" w:eastAsia="Arial" w:hAnsi="Arial"/>
          <w:color w:val="1B2118"/>
          <w:sz w:val="21"/>
          <w:szCs w:val="21"/>
        </w:rPr>
        <w:t xml:space="preserve">le Istruzioni di ripristino.</w:t>
      </w:r>
    </w:p>
    <w:p>
      <w:pPr>
        <w:spacing w:after="140" w:line="300"/>
      </w:pPr>
      <w:r>
        <w:rPr>
          <w:rFonts w:ascii="Arial" w:cs="Arial" w:eastAsia="Arial" w:hAnsi="Arial"/>
          <w:color w:val="1B2118"/>
          <w:sz w:val="21"/>
          <w:szCs w:val="21"/>
        </w:rPr>
        <w:t xml:space="preserve">Le cartelle vecchie le toglie Luca a mano. Se un backup non riesce, arriva un'email.</w:t>
      </w:r>
    </w:p>
    <w:p>
      <w:pPr>
        <w:spacing w:after="140" w:line="300"/>
      </w:pPr>
      <w:r>
        <w:rPr>
          <w:rFonts w:ascii="Arial" w:cs="Arial" w:eastAsia="Arial" w:hAnsi="Arial"/>
          <w:color w:val="1B2118"/>
          <w:sz w:val="21"/>
          <w:szCs w:val="21"/>
        </w:rPr>
        <w:t xml:space="preserve">Installazione e ripristino sono nelle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capitolo «Backup automatico su Google Drive». Il ripristino rimette dati, file e utenti identici; dopo il ripristino gli utenti scelgono una nuova password con «Password dimenticata?».</w:t>
      </w:r>
    </w:p>
    <w:p>
      <w:pPr>
        <w:pStyle w:val="Heading1"/>
        <w:pageBreakBefore/>
        <w:pBdr>
          <w:bottom w:val="single" w:color="2F5D3A" w:sz="12" w:space="6"/>
        </w:pBdr>
        <w:spacing w:after="240" w:before="0"/>
      </w:pPr>
      <w:bookmarkStart w:name="cap24" w:id="1"/>
      <w:r>
        <w:rPr>
          <w:rFonts w:ascii="Arial" w:cs="Arial" w:eastAsia="Arial" w:hAnsi="Arial"/>
          <w:b/>
          <w:bCs/>
          <w:color w:val="2F5D3A"/>
          <w:sz w:val="34"/>
          <w:szCs w:val="34"/>
        </w:rPr>
        <w:t xml:space="preserve">24.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7"/>
        <w:gridCol w:w="2010"/>
        <w:gridCol w:w="5491"/>
      </w:tblGrid>
      <w:tr>
        <w:trPr>
          <w:tblHeader/>
        </w:trPr>
        <w:tc>
          <w:tcPr>
            <w:tcW w:type="dxa" w:w="21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4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segnalazioni con data e ora, chi le ha fatte, azione correttiva, prove e rilascio; registro dei test e dei collaudi. Aggiornato a ogni variazione</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del progetto Claude</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Recap del portale in slide (PDF e PowerPoint): metodologia, funzioni, novità, punti aperti, simulatore, piani a pagamento, scelte da prendere</w:t>
            </w:r>
          </w:p>
        </w:tc>
      </w:tr>
    </w:tbl>
    <w:p>
      <w:pPr>
        <w:spacing w:after="160"/>
      </w:pPr>
    </w:p>
    <w:p>
      <w:pPr>
        <w:spacing w:after="140" w:line="300"/>
      </w:pPr>
      <w:r>
        <w:rPr>
          <w:rFonts w:ascii="Arial" w:cs="Arial" w:eastAsia="Arial" w:hAnsi="Arial"/>
          <w:b/>
          <w:bCs/>
          <w:color w:val="1B2118"/>
          <w:sz w:val="21"/>
          <w:szCs w:val="21"/>
        </w:rPr>
        <w:t xml:space="preserve">Documenti ufficiali del Programma.</w:t>
      </w:r>
      <w:r>
        <w:rPr>
          <w:rFonts w:ascii="Arial" w:cs="Arial" w:eastAsia="Arial" w:hAnsi="Arial"/>
          <w:color w:val="1B2118"/>
          <w:sz w:val="21"/>
          <w:szCs w:val="21"/>
        </w:rPr>
        <w:t xml:space="preserve"> In fondo alla pagina Documentazione ci sono gli </w:t>
      </w:r>
      <w:r>
        <w:rPr>
          <w:rFonts w:ascii="Arial" w:cs="Arial" w:eastAsia="Arial" w:hAnsi="Arial"/>
          <w:b/>
          <w:bCs/>
          <w:color w:val="1B2118"/>
          <w:sz w:val="21"/>
          <w:szCs w:val="21"/>
        </w:rPr>
        <w:t xml:space="preserve">8 documenti ufficiali del Programma Carbon WastePrint® versione 1.2</w:t>
      </w:r>
      <w:r>
        <w:rPr>
          <w:rFonts w:ascii="Arial" w:cs="Arial" w:eastAsia="Arial" w:hAnsi="Arial"/>
          <w:color w:val="1B2118"/>
          <w:sz w:val="21"/>
          <w:szCs w:val="21"/>
        </w:rPr>
        <w:t xml:space="preserve"> (04/09/2025): 0. Guida al Programma, 1. Definizioni, 2. Normativa di riferimento, 3. Standard, 4. Metodologia, 5. Politica di reclamo, 6. Schema tariffario, 7. Gestione della qualità dei dati. </w:t>
      </w:r>
      <w:r>
        <w:rPr>
          <w:rFonts w:ascii="Arial" w:cs="Arial" w:eastAsia="Arial" w:hAnsi="Arial"/>
          <w:b/>
          <w:bCs/>
          <w:color w:val="1B2118"/>
          <w:sz w:val="21"/>
          <w:szCs w:val="21"/>
        </w:rPr>
        <w:t xml:space="preserve">Apri PDF</w:t>
      </w:r>
      <w:r>
        <w:rPr>
          <w:rFonts w:ascii="Arial" w:cs="Arial" w:eastAsia="Arial" w:hAnsi="Arial"/>
          <w:color w:val="1B2118"/>
          <w:sz w:val="21"/>
          <w:szCs w:val="21"/>
        </w:rPr>
        <w:t xml:space="preserve"> li apre in una nuova scheda, </w:t>
      </w:r>
      <w:r>
        <w:rPr>
          <w:rFonts w:ascii="Arial" w:cs="Arial" w:eastAsia="Arial" w:hAnsi="Arial"/>
          <w:b/>
          <w:bCs/>
          <w:color w:val="1B2118"/>
          <w:sz w:val="21"/>
          <w:szCs w:val="21"/>
        </w:rPr>
        <w:t xml:space="preserve">Scarica</w:t>
      </w:r>
      <w:r>
        <w:rPr>
          <w:rFonts w:ascii="Arial" w:cs="Arial" w:eastAsia="Arial" w:hAnsi="Arial"/>
          <w:color w:val="1B2118"/>
          <w:sz w:val="21"/>
          <w:szCs w:val="21"/>
        </w:rPr>
        <w:t xml:space="preserve"> li salva. Sono gli stessi pubblicati sulla pagina pubblica del Programma e si aggiornano da Impostazioni → Modelli (categoria «programma»).</w:t>
      </w:r>
    </w:p>
    <w:p>
      <w:pPr>
        <w:spacing w:after="140" w:line="300"/>
      </w:pPr>
      <w:r>
        <w:rPr>
          <w:rFonts w:ascii="Arial" w:cs="Arial" w:eastAsia="Arial" w:hAnsi="Arial"/>
          <w:color w:val="1B2118"/>
          <w:sz w:val="21"/>
          <w:szCs w:val="21"/>
        </w:rPr>
        <w:t xml:space="preserve">Gli Operatori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nella voce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si aggiornano insieme i manuali, il Registro e la Presentazione di riepilogo. Per la presentazione il secondo pulsante è </w:t>
      </w:r>
      <w:r>
        <w:rPr>
          <w:rFonts w:ascii="Arial" w:cs="Arial" w:eastAsia="Arial" w:hAnsi="Arial"/>
          <w:b/>
          <w:bCs/>
          <w:color w:val="1B2118"/>
          <w:sz w:val="21"/>
          <w:szCs w:val="21"/>
        </w:rPr>
        <w:t xml:space="preserve">Scarica PowerPoint</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5" w:id="1"/>
      <w:r>
        <w:rPr>
          <w:rFonts w:ascii="Arial" w:cs="Arial" w:eastAsia="Arial" w:hAnsi="Arial"/>
          <w:b/>
          <w:bCs/>
          <w:color w:val="2F5D3A"/>
          <w:sz w:val="34"/>
          <w:szCs w:val="34"/>
        </w:rPr>
        <w:t xml:space="preserve">25. Notizie CO2: osservatorio sui crediti di carbonio volontari</w:t>
      </w:r>
      <w:bookmarkEnd w:id="1"/>
    </w:p>
    <w:p>
      <w:pPr>
        <w:spacing w:after="140" w:line="300"/>
      </w:pPr>
      <w:r>
        <w:rPr>
          <w:rFonts w:ascii="Arial" w:cs="Arial" w:eastAsia="Arial" w:hAnsi="Arial"/>
          <w:color w:val="1B2118"/>
          <w:sz w:val="21"/>
          <w:szCs w:val="21"/>
        </w:rPr>
        <w:t xml:space="preserve">La voce </w:t>
      </w:r>
      <w:r>
        <w:rPr>
          <w:rFonts w:ascii="Arial" w:cs="Arial" w:eastAsia="Arial" w:hAnsi="Arial"/>
          <w:b/>
          <w:bCs/>
          <w:color w:val="1B2118"/>
          <w:sz w:val="21"/>
          <w:szCs w:val="21"/>
        </w:rPr>
        <w:t xml:space="preserve">Notizie CO2</w:t>
      </w:r>
      <w:r>
        <w:rPr>
          <w:rFonts w:ascii="Arial" w:cs="Arial" w:eastAsia="Arial" w:hAnsi="Arial"/>
          <w:color w:val="1B2118"/>
          <w:sz w:val="21"/>
          <w:szCs w:val="21"/>
        </w:rPr>
        <w:t xml:space="preserve"> del menu, riservata agli Amministratori, raccoglie le notizie dal mondo dei </w:t>
      </w:r>
      <w:r>
        <w:rPr>
          <w:rFonts w:ascii="Arial" w:cs="Arial" w:eastAsia="Arial" w:hAnsi="Arial"/>
          <w:b/>
          <w:bCs/>
          <w:color w:val="1B2118"/>
          <w:sz w:val="21"/>
          <w:szCs w:val="21"/>
        </w:rPr>
        <w:t xml:space="preserve">crediti di carbonio volontari</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mercato volontario;</w:t>
      </w:r>
    </w:p>
    <w:p>
      <w:pPr>
        <w:pStyle w:val="ListParagraph"/>
        <w:numPr>
          <w:ilvl w:val="0"/>
          <w:numId w:val="2"/>
        </w:numPr>
        <w:spacing w:after="70" w:line="290"/>
      </w:pPr>
      <w:r>
        <w:rPr>
          <w:rFonts w:ascii="Arial" w:cs="Arial" w:eastAsia="Arial" w:hAnsi="Arial"/>
          <w:color w:val="1B2118"/>
          <w:sz w:val="21"/>
          <w:szCs w:val="21"/>
        </w:rPr>
        <w:t xml:space="preserve">marketplace e borse di scambio;</w:t>
      </w:r>
    </w:p>
    <w:p>
      <w:pPr>
        <w:pStyle w:val="ListParagraph"/>
        <w:numPr>
          <w:ilvl w:val="0"/>
          <w:numId w:val="2"/>
        </w:numPr>
        <w:spacing w:after="70" w:line="290"/>
      </w:pPr>
      <w:r>
        <w:rPr>
          <w:rFonts w:ascii="Arial" w:cs="Arial" w:eastAsia="Arial" w:hAnsi="Arial"/>
          <w:color w:val="1B2118"/>
          <w:sz w:val="21"/>
          <w:szCs w:val="21"/>
        </w:rPr>
        <w:t xml:space="preserve">prezzi e valori unitari dei crediti scambiati o venduti;</w:t>
      </w:r>
    </w:p>
    <w:p>
      <w:pPr>
        <w:pStyle w:val="ListParagraph"/>
        <w:numPr>
          <w:ilvl w:val="0"/>
          <w:numId w:val="2"/>
        </w:numPr>
        <w:spacing w:after="70" w:line="290"/>
      </w:pPr>
      <w:r>
        <w:rPr>
          <w:rFonts w:ascii="Arial" w:cs="Arial" w:eastAsia="Arial" w:hAnsi="Arial"/>
          <w:color w:val="1B2118"/>
          <w:sz w:val="21"/>
          <w:szCs w:val="21"/>
        </w:rPr>
        <w:t xml:space="preserve">standard e registri;</w:t>
      </w:r>
    </w:p>
    <w:p>
      <w:pPr>
        <w:pStyle w:val="ListParagraph"/>
        <w:numPr>
          <w:ilvl w:val="0"/>
          <w:numId w:val="2"/>
        </w:numPr>
        <w:spacing w:after="70" w:line="290"/>
      </w:pPr>
      <w:r>
        <w:rPr>
          <w:rFonts w:ascii="Arial" w:cs="Arial" w:eastAsia="Arial" w:hAnsi="Arial"/>
          <w:color w:val="1B2118"/>
          <w:sz w:val="21"/>
          <w:szCs w:val="21"/>
        </w:rPr>
        <w:t xml:space="preserve">regole e politiche;</w:t>
      </w:r>
    </w:p>
    <w:p>
      <w:pPr>
        <w:pStyle w:val="ListParagraph"/>
        <w:numPr>
          <w:ilvl w:val="0"/>
          <w:numId w:val="2"/>
        </w:numPr>
        <w:spacing w:after="70" w:line="290"/>
      </w:pPr>
      <w:r>
        <w:rPr>
          <w:rFonts w:ascii="Arial" w:cs="Arial" w:eastAsia="Arial" w:hAnsi="Arial"/>
          <w:color w:val="1B2118"/>
          <w:sz w:val="21"/>
          <w:szCs w:val="21"/>
        </w:rPr>
        <w:t xml:space="preserve">progetti, in particolare nel settore dei rifiuti e dell'economia circolare.</w:t>
      </w:r>
    </w:p>
    <w:p>
      <w:pPr>
        <w:spacing w:after="140" w:line="300"/>
      </w:pPr>
      <w:r>
        <w:rPr>
          <w:rFonts w:ascii="Arial" w:cs="Arial" w:eastAsia="Arial" w:hAnsi="Arial"/>
          <w:b/>
          <w:bCs/>
          <w:color w:val="1B2118"/>
          <w:sz w:val="21"/>
          <w:szCs w:val="21"/>
        </w:rPr>
        <w:t xml:space="preserve">Come funziona.</w:t>
      </w:r>
      <w:r>
        <w:rPr>
          <w:rFonts w:ascii="Arial" w:cs="Arial" w:eastAsia="Arial" w:hAnsi="Arial"/>
          <w:color w:val="1B2118"/>
          <w:sz w:val="21"/>
          <w:szCs w:val="21"/>
        </w:rPr>
        <w:t xml:space="preserve"> Ogni 2 ore (al minuto 7 delle ore pari, ora del server) il portale cerca le notizie degli ultimi 7 giorni:</w:t>
      </w:r>
    </w:p>
    <w:p>
      <w:pPr>
        <w:pStyle w:val="ListParagraph"/>
        <w:numPr>
          <w:ilvl w:val="0"/>
          <w:numId w:val="2"/>
        </w:numPr>
        <w:spacing w:after="70" w:line="290"/>
      </w:pPr>
      <w:r>
        <w:rPr>
          <w:rFonts w:ascii="Arial" w:cs="Arial" w:eastAsia="Arial" w:hAnsi="Arial"/>
          <w:color w:val="1B2118"/>
          <w:sz w:val="21"/>
          <w:szCs w:val="21"/>
        </w:rPr>
        <w:t xml:space="preserve">su Bing News, con 12 ricerche mirate in italiano e in inglese;</w:t>
      </w:r>
    </w:p>
    <w:p>
      <w:pPr>
        <w:pStyle w:val="ListParagraph"/>
        <w:numPr>
          <w:ilvl w:val="0"/>
          <w:numId w:val="2"/>
        </w:numPr>
        <w:spacing w:after="70" w:line="290"/>
      </w:pPr>
      <w:r>
        <w:rPr>
          <w:rFonts w:ascii="Arial" w:cs="Arial" w:eastAsia="Arial" w:hAnsi="Arial"/>
          <w:color w:val="1B2118"/>
          <w:sz w:val="21"/>
          <w:szCs w:val="21"/>
        </w:rPr>
        <w:t xml:space="preserve">su quattro siti specializzati: Carbon Herald, CarbonCredits.com, Ecosystem Marketplace e Verra;</w:t>
      </w:r>
    </w:p>
    <w:p>
      <w:pPr>
        <w:pStyle w:val="ListParagraph"/>
        <w:numPr>
          <w:ilvl w:val="0"/>
          <w:numId w:val="2"/>
        </w:numPr>
        <w:spacing w:after="70" w:line="290"/>
      </w:pPr>
      <w:r>
        <w:rPr>
          <w:rFonts w:ascii="Arial" w:cs="Arial" w:eastAsia="Arial" w:hAnsi="Arial"/>
          <w:color w:val="1B2118"/>
          <w:sz w:val="21"/>
          <w:szCs w:val="21"/>
        </w:rPr>
        <w:t xml:space="preserve">su otto siti di notizie ambientali: Rinnovabili.it, QualEnergia, GreenReport, ESGnews, LifeGate, Climate Home News, edie, BusinessGreen (Rinnovabili.it e GreenReport attraverso Bing News, perché non si leggono direttamente). Da questi passano al controllo solo le notizie che parlano espressamente di crediti, compensazioni o mercati del carbonio.</w:t>
      </w:r>
    </w:p>
    <w:p>
      <w:pPr>
        <w:spacing w:after="140" w:line="300"/>
      </w:pPr>
      <w:r>
        <w:rPr>
          <w:rFonts w:ascii="Arial" w:cs="Arial" w:eastAsia="Arial" w:hAnsi="Arial"/>
          <w:color w:val="1B2118"/>
          <w:sz w:val="21"/>
          <w:szCs w:val="21"/>
        </w:rPr>
        <w:t xml:space="preserve">Google News non si usa: blocca ogni richiesta che arriva dai server del portale.</w:t>
      </w:r>
    </w:p>
    <w:p>
      <w:pPr>
        <w:spacing w:after="140" w:line="300"/>
      </w:pPr>
      <w:r>
        <w:rPr>
          <w:rFonts w:ascii="Arial" w:cs="Arial" w:eastAsia="Arial" w:hAnsi="Arial"/>
          <w:color w:val="1B2118"/>
          <w:sz w:val="21"/>
          <w:szCs w:val="21"/>
        </w:rPr>
        <w:t xml:space="preserve">Ogni notizia nuova passa da un primo filtro sulle parole chiave e poi la controlla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che decide se è </w:t>
      </w:r>
      <w:r>
        <w:rPr>
          <w:rFonts w:ascii="Arial" w:cs="Arial" w:eastAsia="Arial" w:hAnsi="Arial"/>
          <w:b/>
          <w:bCs/>
          <w:color w:val="1B2118"/>
          <w:sz w:val="21"/>
          <w:szCs w:val="21"/>
        </w:rPr>
        <w:t xml:space="preserve">attinente</w:t>
      </w:r>
      <w:r>
        <w:rPr>
          <w:rFonts w:ascii="Arial" w:cs="Arial" w:eastAsia="Arial" w:hAnsi="Arial"/>
          <w:color w:val="1B2118"/>
          <w:sz w:val="21"/>
          <w:szCs w:val="21"/>
        </w:rPr>
        <w:t xml:space="preserve"> al mondo dei crediti di carbonio volontari, oggetto del portale, e prepara:</w:t>
      </w:r>
    </w:p>
    <w:p>
      <w:pPr>
        <w:pStyle w:val="ListParagraph"/>
        <w:numPr>
          <w:ilvl w:val="0"/>
          <w:numId w:val="2"/>
        </w:numPr>
        <w:spacing w:after="70" w:line="290"/>
      </w:pPr>
      <w:r>
        <w:rPr>
          <w:rFonts w:ascii="Arial" w:cs="Arial" w:eastAsia="Arial" w:hAnsi="Arial"/>
          <w:color w:val="1B2118"/>
          <w:sz w:val="21"/>
          <w:szCs w:val="21"/>
        </w:rPr>
        <w:t xml:space="preserve">il titolo e una sintesi di 2-3 frasi in italiano;</w:t>
      </w:r>
    </w:p>
    <w:p>
      <w:pPr>
        <w:pStyle w:val="ListParagraph"/>
        <w:numPr>
          <w:ilvl w:val="0"/>
          <w:numId w:val="2"/>
        </w:numPr>
        <w:spacing w:after="70" w:line="290"/>
      </w:pPr>
      <w:r>
        <w:rPr>
          <w:rFonts w:ascii="Arial" w:cs="Arial" w:eastAsia="Arial" w:hAnsi="Arial"/>
          <w:color w:val="1B2118"/>
          <w:sz w:val="21"/>
          <w:szCs w:val="21"/>
        </w:rPr>
        <w:t xml:space="preserve">la categoria;</w:t>
      </w:r>
    </w:p>
    <w:p>
      <w:pPr>
        <w:pStyle w:val="ListParagraph"/>
        <w:numPr>
          <w:ilvl w:val="0"/>
          <w:numId w:val="2"/>
        </w:numPr>
        <w:spacing w:after="70" w:line="290"/>
      </w:pPr>
      <w:r>
        <w:rPr>
          <w:rFonts w:ascii="Arial" w:cs="Arial" w:eastAsia="Arial" w:hAnsi="Arial"/>
          <w:color w:val="1B2118"/>
          <w:sz w:val="21"/>
          <w:szCs w:val="21"/>
        </w:rPr>
        <w:t xml:space="preserve">la rilevanza da 1 a 5 per il Programma CWP (5 = impatto diretto: crediti dal settore dei rifiuti, mercato italiano, prezzi di crediti simili);</w:t>
      </w:r>
    </w:p>
    <w:p>
      <w:pPr>
        <w:pStyle w:val="ListParagraph"/>
        <w:numPr>
          <w:ilvl w:val="0"/>
          <w:numId w:val="2"/>
        </w:numPr>
        <w:spacing w:after="70" w:line="290"/>
      </w:pPr>
      <w:r>
        <w:rPr>
          <w:rFonts w:ascii="Arial" w:cs="Arial" w:eastAsia="Arial" w:hAnsi="Arial"/>
          <w:color w:val="1B2118"/>
          <w:sz w:val="21"/>
          <w:szCs w:val="21"/>
        </w:rPr>
        <w:t xml:space="preserve">i prezzi citati.</w:t>
      </w:r>
    </w:p>
    <w:p>
      <w:pPr>
        <w:spacing w:after="140" w:line="300"/>
      </w:pPr>
      <w:r>
        <w:rPr>
          <w:rFonts w:ascii="Arial" w:cs="Arial" w:eastAsia="Arial" w:hAnsi="Arial"/>
          <w:b/>
          <w:bCs/>
          <w:color w:val="1B2118"/>
          <w:sz w:val="21"/>
          <w:szCs w:val="21"/>
        </w:rPr>
        <w:t xml:space="preserve">Cosa non è attinente:</w:t>
      </w:r>
    </w:p>
    <w:p>
      <w:pPr>
        <w:pStyle w:val="ListParagraph"/>
        <w:numPr>
          <w:ilvl w:val="0"/>
          <w:numId w:val="2"/>
        </w:numPr>
        <w:spacing w:after="70" w:line="290"/>
      </w:pPr>
      <w:r>
        <w:rPr>
          <w:rFonts w:ascii="Arial" w:cs="Arial" w:eastAsia="Arial" w:hAnsi="Arial"/>
          <w:color w:val="1B2118"/>
          <w:sz w:val="21"/>
          <w:szCs w:val="21"/>
        </w:rPr>
        <w:t xml:space="preserve">il solo mercato regolato EU ETS, senza legame con i crediti volontari;</w:t>
      </w:r>
    </w:p>
    <w:p>
      <w:pPr>
        <w:pStyle w:val="ListParagraph"/>
        <w:numPr>
          <w:ilvl w:val="0"/>
          <w:numId w:val="2"/>
        </w:numPr>
        <w:spacing w:after="70" w:line="290"/>
      </w:pPr>
      <w:r>
        <w:rPr>
          <w:rFonts w:ascii="Arial" w:cs="Arial" w:eastAsia="Arial" w:hAnsi="Arial"/>
          <w:color w:val="1B2118"/>
          <w:sz w:val="21"/>
          <w:szCs w:val="21"/>
        </w:rPr>
        <w:t xml:space="preserve">certificati verdi o bianchi del GSE e garanzie d'origine, che sono strumenti dell'energia diversi dai crediti di carbonio;</w:t>
      </w:r>
    </w:p>
    <w:p>
      <w:pPr>
        <w:pStyle w:val="ListParagraph"/>
        <w:numPr>
          <w:ilvl w:val="0"/>
          <w:numId w:val="2"/>
        </w:numPr>
        <w:spacing w:after="70" w:line="290"/>
      </w:pPr>
      <w:r>
        <w:rPr>
          <w:rFonts w:ascii="Arial" w:cs="Arial" w:eastAsia="Arial" w:hAnsi="Arial"/>
          <w:color w:val="1B2118"/>
          <w:sz w:val="21"/>
          <w:szCs w:val="21"/>
        </w:rPr>
        <w:t xml:space="preserve">notizie generiche su clima, energia o ESG.</w:t>
      </w:r>
    </w:p>
    <w:p>
      <w:pPr>
        <w:spacing w:after="140" w:line="300"/>
      </w:pPr>
      <w:r>
        <w:rPr>
          <w:rFonts w:ascii="Arial" w:cs="Arial" w:eastAsia="Arial" w:hAnsi="Arial"/>
          <w:b/>
          <w:bCs/>
          <w:color w:val="1B2118"/>
          <w:sz w:val="21"/>
          <w:szCs w:val="21"/>
        </w:rPr>
        <w:t xml:space="preserve">Pallino verde.</w:t>
      </w:r>
      <w:r>
        <w:rPr>
          <w:rFonts w:ascii="Arial" w:cs="Arial" w:eastAsia="Arial" w:hAnsi="Arial"/>
          <w:color w:val="1B2118"/>
          <w:sz w:val="21"/>
          <w:szCs w:val="21"/>
        </w:rPr>
        <w:t xml:space="preserve"> Quando arrivano notizie nuove dall'ultima volta che avete aperto la sezione, nel menu compare un </w:t>
      </w:r>
      <w:r>
        <w:rPr>
          <w:rFonts w:ascii="Arial" w:cs="Arial" w:eastAsia="Arial" w:hAnsi="Arial"/>
          <w:b/>
          <w:bCs/>
          <w:color w:val="1B2118"/>
          <w:sz w:val="21"/>
          <w:szCs w:val="21"/>
        </w:rPr>
        <w:t xml:space="preserve">pallino verde in alto a destra di «Notizie CO2»</w:t>
      </w:r>
      <w:r>
        <w:rPr>
          <w:rFonts w:ascii="Arial" w:cs="Arial" w:eastAsia="Arial" w:hAnsi="Arial"/>
          <w:color w:val="1B2118"/>
          <w:sz w:val="21"/>
          <w:szCs w:val="21"/>
        </w:rPr>
        <w:t xml:space="preserve">; si spegne appena entrate nella sezione. Ogni Amministratore ha il suo pallino, uguale su ogni computer.</w:t>
      </w:r>
    </w:p>
    <w:p>
      <w:pPr>
        <w:spacing w:after="140" w:line="300"/>
      </w:pPr>
      <w:r>
        <w:rPr>
          <w:rFonts w:ascii="Arial" w:cs="Arial" w:eastAsia="Arial" w:hAnsi="Arial"/>
          <w:b/>
          <w:bCs/>
          <w:color w:val="1B2118"/>
          <w:sz w:val="21"/>
          <w:szCs w:val="21"/>
        </w:rPr>
        <w:t xml:space="preserve">La pagina.</w:t>
      </w:r>
    </w:p>
    <w:p>
      <w:pPr>
        <w:pStyle w:val="ListParagraph"/>
        <w:numPr>
          <w:ilvl w:val="0"/>
          <w:numId w:val="2"/>
        </w:numPr>
        <w:spacing w:after="70" w:line="290"/>
      </w:pPr>
      <w:r>
        <w:rPr>
          <w:rFonts w:ascii="Arial" w:cs="Arial" w:eastAsia="Arial" w:hAnsi="Arial"/>
          <w:color w:val="1B2118"/>
          <w:sz w:val="21"/>
          <w:szCs w:val="21"/>
        </w:rPr>
        <w:t xml:space="preserve">In alto: la </w:t>
      </w:r>
      <w:r>
        <w:rPr>
          <w:rFonts w:ascii="Arial" w:cs="Arial" w:eastAsia="Arial" w:hAnsi="Arial"/>
          <w:b/>
          <w:bCs/>
          <w:color w:val="1B2118"/>
          <w:sz w:val="21"/>
          <w:szCs w:val="21"/>
        </w:rPr>
        <w:t xml:space="preserve">data dell'ultima ricerca</w:t>
      </w:r>
      <w:r>
        <w:rPr>
          <w:rFonts w:ascii="Arial" w:cs="Arial" w:eastAsia="Arial" w:hAnsi="Arial"/>
          <w:color w:val="1B2118"/>
          <w:sz w:val="21"/>
          <w:szCs w:val="21"/>
        </w:rPr>
        <w:t xml:space="preserve"> e della prossima, il pulsante </w:t>
      </w:r>
      <w:r>
        <w:rPr>
          <w:rFonts w:ascii="Arial" w:cs="Arial" w:eastAsia="Arial" w:hAnsi="Arial"/>
          <w:b/>
          <w:bCs/>
          <w:color w:val="1B2118"/>
          <w:sz w:val="21"/>
          <w:szCs w:val="21"/>
        </w:rPr>
        <w:t xml:space="preserve">Registro ricerche</w:t>
      </w:r>
      <w:r>
        <w:rPr>
          <w:rFonts w:ascii="Arial" w:cs="Arial" w:eastAsia="Arial" w:hAnsi="Arial"/>
          <w:color w:val="1B2118"/>
          <w:sz w:val="21"/>
          <w:szCs w:val="21"/>
        </w:rPr>
        <w:t xml:space="preserve"> (ultime ricerche con esito e numeri) e </w:t>
      </w:r>
      <w:r>
        <w:rPr>
          <w:rFonts w:ascii="Arial" w:cs="Arial" w:eastAsia="Arial" w:hAnsi="Arial"/>
          <w:b/>
          <w:bCs/>
          <w:color w:val="1B2118"/>
          <w:sz w:val="21"/>
          <w:szCs w:val="21"/>
        </w:rPr>
        <w:t xml:space="preserve">Aggiorna ora</w:t>
      </w:r>
      <w:r>
        <w:rPr>
          <w:rFonts w:ascii="Arial" w:cs="Arial" w:eastAsia="Arial" w:hAnsi="Arial"/>
          <w:color w:val="1B2118"/>
          <w:sz w:val="21"/>
          <w:szCs w:val="21"/>
        </w:rPr>
        <w:t xml:space="preserve">, che lancia subito una ricerca (al massimo una ogni 10 minuti; servono 20-60 secondi).</w:t>
      </w:r>
    </w:p>
    <w:p>
      <w:pPr>
        <w:pStyle w:val="ListParagraph"/>
        <w:numPr>
          <w:ilvl w:val="0"/>
          <w:numId w:val="2"/>
        </w:numPr>
        <w:spacing w:after="70" w:line="29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Prezzi citati negli ultimi 30 giorni</w:t>
      </w:r>
      <w:r>
        <w:rPr>
          <w:rFonts w:ascii="Arial" w:cs="Arial" w:eastAsia="Arial" w:hAnsi="Arial"/>
          <w:color w:val="1B2118"/>
          <w:sz w:val="21"/>
          <w:szCs w:val="21"/>
        </w:rPr>
        <w:t xml:space="preserve"> raccoglie i valori unitari trovati negli articoli. Sono valori riportati dalle fonti e non verificati: controllate sempre l'articolo.</w:t>
      </w:r>
    </w:p>
    <w:p>
      <w:pPr>
        <w:pStyle w:val="ListParagraph"/>
        <w:numPr>
          <w:ilvl w:val="0"/>
          <w:numId w:val="2"/>
        </w:numPr>
        <w:spacing w:after="70" w:line="290"/>
      </w:pPr>
      <w:r>
        <w:rPr>
          <w:rFonts w:ascii="Arial" w:cs="Arial" w:eastAsia="Arial" w:hAnsi="Arial"/>
          <w:b/>
          <w:bCs/>
          <w:color w:val="1B2118"/>
          <w:sz w:val="21"/>
          <w:szCs w:val="21"/>
        </w:rPr>
        <w:t xml:space="preserve">Filtri:</w:t>
      </w:r>
      <w:r>
        <w:rPr>
          <w:rFonts w:ascii="Arial" w:cs="Arial" w:eastAsia="Arial" w:hAnsi="Arial"/>
          <w:color w:val="1B2118"/>
          <w:sz w:val="21"/>
          <w:szCs w:val="21"/>
        </w:rPr>
        <w:t xml:space="preserve"> categoria (Prezzi e scambi, Marketplace e borse, Standard e registri, Regole e politiche, Progetti, Mercato e domanda, Altro), ricerca libera, periodo e rilevanza minima.</w:t>
      </w:r>
    </w:p>
    <w:p>
      <w:pPr>
        <w:pStyle w:val="ListParagraph"/>
        <w:numPr>
          <w:ilvl w:val="0"/>
          <w:numId w:val="2"/>
        </w:numPr>
        <w:spacing w:after="70" w:line="290"/>
      </w:pPr>
      <w:r>
        <w:rPr>
          <w:rFonts w:ascii="Arial" w:cs="Arial" w:eastAsia="Arial" w:hAnsi="Arial"/>
          <w:color w:val="1B2118"/>
          <w:sz w:val="21"/>
          <w:szCs w:val="21"/>
        </w:rPr>
        <w:t xml:space="preserve">Ogni notizia si apre nella fonte originale con il titolo. </w:t>
      </w:r>
      <w:r>
        <w:rPr>
          <w:rFonts w:ascii="Arial" w:cs="Arial" w:eastAsia="Arial" w:hAnsi="Arial"/>
          <w:b/>
          <w:bCs/>
          <w:color w:val="1B2118"/>
          <w:sz w:val="21"/>
          <w:szCs w:val="21"/>
        </w:rPr>
        <w:t xml:space="preserve">Nascondi</w:t>
      </w:r>
      <w:r>
        <w:rPr>
          <w:rFonts w:ascii="Arial" w:cs="Arial" w:eastAsia="Arial" w:hAnsi="Arial"/>
          <w:color w:val="1B2118"/>
          <w:sz w:val="21"/>
          <w:szCs w:val="21"/>
        </w:rPr>
        <w:t xml:space="preserve"> la toglie dall'elenco per tutti gli Amministratori; con «Mostra le nascoste» si rimette.</w:t>
      </w:r>
    </w:p>
    <w:p>
      <w:pPr>
        <w:pStyle w:val="ListParagraph"/>
        <w:numPr>
          <w:ilvl w:val="0"/>
          <w:numId w:val="2"/>
        </w:numPr>
        <w:spacing w:after="70" w:line="290"/>
      </w:pPr>
      <w:r>
        <w:rPr>
          <w:rFonts w:ascii="Arial" w:cs="Arial" w:eastAsia="Arial" w:hAnsi="Arial"/>
          <w:b/>
          <w:bCs/>
          <w:color w:val="1B2118"/>
          <w:sz w:val="21"/>
          <w:szCs w:val="21"/>
        </w:rPr>
        <w:t xml:space="preserve">Mostra le scartate dal filtro</w:t>
      </w:r>
      <w:r>
        <w:rPr>
          <w:rFonts w:ascii="Arial" w:cs="Arial" w:eastAsia="Arial" w:hAnsi="Arial"/>
          <w:color w:val="1B2118"/>
          <w:sz w:val="21"/>
          <w:szCs w:val="21"/>
        </w:rPr>
        <w:t xml:space="preserve"> fa vedere anche le notizie giudicate non attinenti, con il motivo: serve a controllare il filtro. Se una notizia utile è stata scartata, segnalatelo per correggere le istruzioni del filtro.</w:t>
      </w:r>
    </w:p>
    <w:p>
      <w:pPr>
        <w:spacing w:after="140" w:line="300"/>
      </w:pPr>
      <w:r>
        <w:rPr>
          <w:rFonts w:ascii="Arial" w:cs="Arial" w:eastAsia="Arial" w:hAnsi="Arial"/>
          <w:b/>
          <w:bCs/>
          <w:color w:val="1B2118"/>
          <w:sz w:val="21"/>
          <w:szCs w:val="21"/>
        </w:rPr>
        <w:t xml:space="preserve">Costi e sicurezza.</w:t>
      </w:r>
    </w:p>
    <w:p>
      <w:pPr>
        <w:pStyle w:val="ListParagraph"/>
        <w:numPr>
          <w:ilvl w:val="0"/>
          <w:numId w:val="2"/>
        </w:numPr>
        <w:spacing w:after="70" w:line="290"/>
      </w:pPr>
      <w:r>
        <w:rPr>
          <w:rFonts w:ascii="Arial" w:cs="Arial" w:eastAsia="Arial" w:hAnsi="Arial"/>
          <w:color w:val="1B2118"/>
          <w:sz w:val="21"/>
          <w:szCs w:val="21"/>
        </w:rPr>
        <w:t xml:space="preserve">Il controllo usa la stessa chiave Claude dell'assistente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con il modello Haiku: legge solo titoli ed estratti brevi, con una spesa di pochi centesimi al giorno.</w:t>
      </w:r>
    </w:p>
    <w:p>
      <w:pPr>
        <w:pStyle w:val="ListParagraph"/>
        <w:numPr>
          <w:ilvl w:val="0"/>
          <w:numId w:val="2"/>
        </w:numPr>
        <w:spacing w:after="70" w:line="290"/>
      </w:pPr>
      <w:r>
        <w:rPr>
          <w:rFonts w:ascii="Arial" w:cs="Arial" w:eastAsia="Arial" w:hAnsi="Arial"/>
          <w:color w:val="1B2118"/>
          <w:sz w:val="21"/>
          <w:szCs w:val="21"/>
        </w:rPr>
        <w:t xml:space="preserve">Le notizie e il registro delle ricerche si leggono solo con un accesso da Amministratore (regole del database, script 36).</w:t>
      </w:r>
    </w:p>
    <w:p>
      <w:pPr>
        <w:pStyle w:val="ListParagraph"/>
        <w:numPr>
          <w:ilvl w:val="0"/>
          <w:numId w:val="2"/>
        </w:numPr>
        <w:spacing w:after="70" w:line="290"/>
      </w:pPr>
      <w:r>
        <w:rPr>
          <w:rFonts w:ascii="Arial" w:cs="Arial" w:eastAsia="Arial" w:hAnsi="Arial"/>
          <w:color w:val="1B2118"/>
          <w:sz w:val="21"/>
          <w:szCs w:val="21"/>
        </w:rPr>
        <w:t xml:space="preserve">La funzione del server accetta al massimo una ricerca ogni 100 minuti da chi non è Amministratore: una chiamata esterna non può far spendere crediti.</w:t>
      </w:r>
    </w:p>
    <w:p>
      <w:pPr>
        <w:pStyle w:val="Heading1"/>
        <w:pageBreakBefore/>
        <w:pBdr>
          <w:bottom w:val="single" w:color="2F5D3A" w:sz="12" w:space="6"/>
        </w:pBdr>
        <w:spacing w:after="240" w:before="0"/>
      </w:pPr>
      <w:bookmarkStart w:name="cap26" w:id="1"/>
      <w:r>
        <w:rPr>
          <w:rFonts w:ascii="Arial" w:cs="Arial" w:eastAsia="Arial" w:hAnsi="Arial"/>
          <w:b/>
          <w:bCs/>
          <w:color w:val="2F5D3A"/>
          <w:sz w:val="34"/>
          <w:szCs w:val="34"/>
        </w:rPr>
        <w:t xml:space="preserve">26. Assistente virtuale</w:t>
      </w:r>
      <w:bookmarkEnd w:id="1"/>
    </w:p>
    <w:p>
      <w:pPr>
        <w:spacing w:after="140" w:line="300"/>
      </w:pPr>
      <w:r>
        <w:rPr>
          <w:rFonts w:ascii="Arial" w:cs="Arial" w:eastAsia="Arial" w:hAnsi="Arial"/>
          <w:color w:val="1B2118"/>
          <w:sz w:val="21"/>
          <w:szCs w:val="21"/>
        </w:rPr>
        <w:t xml:space="preserve">In basso a destra di ogni pagina c'è il pulsante </w:t>
      </w:r>
      <w:r>
        <w:rPr>
          <w:rFonts w:ascii="Arial" w:cs="Arial" w:eastAsia="Arial" w:hAnsi="Arial"/>
          <w:b/>
          <w:bCs/>
          <w:color w:val="1B2118"/>
          <w:sz w:val="21"/>
          <w:szCs w:val="21"/>
        </w:rPr>
        <w:t xml:space="preserve">✦ Assistente</w:t>
      </w:r>
      <w:r>
        <w:rPr>
          <w:rFonts w:ascii="Arial" w:cs="Arial" w:eastAsia="Arial" w:hAnsi="Arial"/>
          <w:color w:val="1B2118"/>
          <w:sz w:val="21"/>
          <w:szCs w:val="21"/>
        </w:rPr>
        <w:t xml:space="preserve">: apre una chat con un assistente basato su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(Anthropic) che risponde alle domande sul funzionamento del portale e del Programma. È disponibile per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(dal 21/10/2026) e </w:t>
      </w:r>
      <w:r>
        <w:rPr>
          <w:rFonts w:ascii="Arial" w:cs="Arial" w:eastAsia="Arial" w:hAnsi="Arial"/>
          <w:b/>
          <w:bCs/>
          <w:color w:val="1B2118"/>
          <w:sz w:val="21"/>
          <w:szCs w:val="21"/>
        </w:rPr>
        <w:t xml:space="preserve">utenti degli enti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sa.</w:t>
      </w:r>
      <w:r>
        <w:rPr>
          <w:rFonts w:ascii="Arial" w:cs="Arial" w:eastAsia="Arial" w:hAnsi="Arial"/>
          <w:color w:val="1B2118"/>
          <w:sz w:val="21"/>
          <w:szCs w:val="21"/>
        </w:rPr>
        <w:t xml:space="preserve"> Risponde solo dalla sua base di conoscenza, diversa per ruolo:</w:t>
      </w:r>
    </w:p>
    <w:p>
      <w:pPr>
        <w:pStyle w:val="ListParagraph"/>
        <w:numPr>
          <w:ilvl w:val="0"/>
          <w:numId w:val="2"/>
        </w:numPr>
        <w:spacing w:after="70" w:line="290"/>
      </w:pP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Utente, questo manuale, le tariffe (Schema tariffario v1.2 e costi Caso 1 e Caso 2 del 28/07/2026) e le note sul calcolo dei crediti.</w:t>
      </w:r>
    </w:p>
    <w:p>
      <w:pPr>
        <w:pStyle w:val="ListParagraph"/>
        <w:numPr>
          <w:ilvl w:val="0"/>
          <w:numId w:val="2"/>
        </w:numPr>
        <w:spacing w:after="70" w:line="290"/>
      </w:pP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il Manuale Utente, questo manuale senza i capitoli delle funzioni riservate agli Amministratori (utenti, audit, impostazioni, calcolo dei crediti, backup, sicurezza) e le tariffe.</w:t>
      </w:r>
    </w:p>
    <w:p>
      <w:pPr>
        <w:pStyle w:val="ListParagraph"/>
        <w:numPr>
          <w:ilvl w:val="0"/>
          <w:numId w:val="2"/>
        </w:numPr>
        <w:spacing w:after="70" w:line="290"/>
      </w:pPr>
      <w:r>
        <w:rPr>
          <w:rFonts w:ascii="Arial" w:cs="Arial" w:eastAsia="Arial" w:hAnsi="Arial"/>
          <w:b/>
          <w:bCs/>
          <w:color w:val="1B2118"/>
          <w:sz w:val="21"/>
          <w:szCs w:val="21"/>
        </w:rPr>
        <w:t xml:space="preserve">Enti:</w:t>
      </w:r>
      <w:r>
        <w:rPr>
          <w:rFonts w:ascii="Arial" w:cs="Arial" w:eastAsia="Arial" w:hAnsi="Arial"/>
          <w:color w:val="1B2118"/>
          <w:sz w:val="21"/>
          <w:szCs w:val="21"/>
        </w:rPr>
        <w:t xml:space="preserve"> il Manuale Utente e le tariffe.</w:t>
      </w:r>
    </w:p>
    <w:p>
      <w:pPr>
        <w:spacing w:after="140" w:line="300"/>
      </w:pPr>
      <w:r>
        <w:rPr>
          <w:rFonts w:ascii="Arial" w:cs="Arial" w:eastAsia="Arial" w:hAnsi="Arial"/>
          <w:color w:val="1B2118"/>
          <w:sz w:val="21"/>
          <w:szCs w:val="21"/>
        </w:rPr>
        <w:t xml:space="preserve">Se una cosa non c'è lo dice e invita a scrivere alla Fondazione. Non fa operazioni nel portale: spiega dove e come farle.</w:t>
      </w:r>
    </w:p>
    <w:p>
      <w:pPr>
        <w:spacing w:after="140" w:line="300"/>
      </w:pPr>
      <w:r>
        <w:rPr>
          <w:rFonts w:ascii="Arial" w:cs="Arial" w:eastAsia="Arial" w:hAnsi="Arial"/>
          <w:b/>
          <w:bCs/>
          <w:color w:val="1B2118"/>
          <w:sz w:val="21"/>
          <w:szCs w:val="21"/>
        </w:rPr>
        <w:t xml:space="preserve">Domande sulla pratica aperta</w:t>
      </w:r>
      <w:r>
        <w:rPr>
          <w:rFonts w:ascii="Arial" w:cs="Arial" w:eastAsia="Arial" w:hAnsi="Arial"/>
          <w:color w:val="1B2118"/>
          <w:sz w:val="21"/>
          <w:szCs w:val="21"/>
        </w:rPr>
        <w:t xml:space="preserve"> (dal 21/10/2026). Se si apre l'assistente dalla pagina di una pratica (in «Pratiche» o in «Le mie pratiche»), l'assistente riceve anche un riepilogo di </w:t>
      </w:r>
      <w:r>
        <w:rPr>
          <w:rFonts w:ascii="Arial" w:cs="Arial" w:eastAsia="Arial" w:hAnsi="Arial"/>
          <w:b/>
          <w:bCs/>
          <w:color w:val="1B2118"/>
          <w:sz w:val="21"/>
          <w:szCs w:val="21"/>
        </w:rPr>
        <w:t xml:space="preserve">quella</w:t>
      </w:r>
      <w:r>
        <w:rPr>
          <w:rFonts w:ascii="Arial" w:cs="Arial" w:eastAsia="Arial" w:hAnsi="Arial"/>
          <w:color w:val="1B2118"/>
          <w:sz w:val="21"/>
          <w:szCs w:val="21"/>
        </w:rPr>
        <w:t xml:space="preserve"> pratica, letto in quel momento con i permessi di chi chiede:</w:t>
      </w:r>
    </w:p>
    <w:p>
      <w:pPr>
        <w:pStyle w:val="ListParagraph"/>
        <w:numPr>
          <w:ilvl w:val="0"/>
          <w:numId w:val="2"/>
        </w:numPr>
        <w:spacing w:after="70" w:line="290"/>
      </w:pPr>
      <w:r>
        <w:rPr>
          <w:rFonts w:ascii="Arial" w:cs="Arial" w:eastAsia="Arial" w:hAnsi="Arial"/>
          <w:color w:val="1B2118"/>
          <w:sz w:val="21"/>
          <w:szCs w:val="21"/>
        </w:rPr>
        <w:t xml:space="preserve">stato;</w:t>
      </w:r>
    </w:p>
    <w:p>
      <w:pPr>
        <w:pStyle w:val="ListParagraph"/>
        <w:numPr>
          <w:ilvl w:val="0"/>
          <w:numId w:val="2"/>
        </w:numPr>
        <w:spacing w:after="70" w:line="290"/>
      </w:pPr>
      <w:r>
        <w:rPr>
          <w:rFonts w:ascii="Arial" w:cs="Arial" w:eastAsia="Arial" w:hAnsi="Arial"/>
          <w:color w:val="1B2118"/>
          <w:sz w:val="21"/>
          <w:szCs w:val="21"/>
        </w:rPr>
        <w:t xml:space="preserve">fasi con scadenze e giorni mancanti;</w:t>
      </w:r>
    </w:p>
    <w:p>
      <w:pPr>
        <w:pStyle w:val="ListParagraph"/>
        <w:numPr>
          <w:ilvl w:val="0"/>
          <w:numId w:val="2"/>
        </w:numPr>
        <w:spacing w:after="70" w:line="290"/>
      </w:pPr>
      <w:r>
        <w:rPr>
          <w:rFonts w:ascii="Arial" w:cs="Arial" w:eastAsia="Arial" w:hAnsi="Arial"/>
          <w:color w:val="1B2118"/>
          <w:sz w:val="21"/>
          <w:szCs w:val="21"/>
        </w:rPr>
        <w:t xml:space="preserve">documenti richiesti non ancora caricati nelle fasi aperte;</w:t>
      </w:r>
    </w:p>
    <w:p>
      <w:pPr>
        <w:pStyle w:val="ListParagraph"/>
        <w:numPr>
          <w:ilvl w:val="0"/>
          <w:numId w:val="2"/>
        </w:numPr>
        <w:spacing w:after="70" w:line="290"/>
      </w:pPr>
      <w:r>
        <w:rPr>
          <w:rFonts w:ascii="Arial" w:cs="Arial" w:eastAsia="Arial" w:hAnsi="Arial"/>
          <w:color w:val="1B2118"/>
          <w:sz w:val="21"/>
          <w:szCs w:val="21"/>
        </w:rPr>
        <w:t xml:space="preserve">integrazioni aperte;</w:t>
      </w:r>
    </w:p>
    <w:p>
      <w:pPr>
        <w:pStyle w:val="ListParagraph"/>
        <w:numPr>
          <w:ilvl w:val="0"/>
          <w:numId w:val="2"/>
        </w:numPr>
        <w:spacing w:after="70" w:line="290"/>
      </w:pPr>
      <w:r>
        <w:rPr>
          <w:rFonts w:ascii="Arial" w:cs="Arial" w:eastAsia="Arial" w:hAnsi="Arial"/>
          <w:color w:val="1B2118"/>
          <w:sz w:val="21"/>
          <w:szCs w:val="21"/>
        </w:rPr>
        <w:t xml:space="preserve">pagamenti non saldati o scaduti;</w:t>
      </w:r>
    </w:p>
    <w:p>
      <w:pPr>
        <w:pStyle w:val="ListParagraph"/>
        <w:numPr>
          <w:ilvl w:val="0"/>
          <w:numId w:val="2"/>
        </w:numPr>
        <w:spacing w:after="70" w:line="290"/>
      </w:pPr>
      <w:r>
        <w:rPr>
          <w:rFonts w:ascii="Arial" w:cs="Arial" w:eastAsia="Arial" w:hAnsi="Arial"/>
          <w:color w:val="1B2118"/>
          <w:sz w:val="21"/>
          <w:szCs w:val="21"/>
        </w:rPr>
        <w:t xml:space="preserve">feedback pubblico.</w:t>
      </w:r>
    </w:p>
    <w:p>
      <w:pPr>
        <w:spacing w:after="140" w:line="300"/>
      </w:pPr>
      <w:r>
        <w:rPr>
          <w:rFonts w:ascii="Arial" w:cs="Arial" w:eastAsia="Arial" w:hAnsi="Arial"/>
          <w:color w:val="1B2118"/>
          <w:sz w:val="21"/>
          <w:szCs w:val="21"/>
        </w:rPr>
        <w:t xml:space="preserve">Si possono chiedere cose come «A che punto è questa pratica?» o «Quali documenti mancano?». Un utente del Comune ottiene il riepilogo solo delle sue pratiche e conta solo i documenti che può vedere. Altrove l'assistente non vede i dati delle pratiche.</w:t>
      </w:r>
    </w:p>
    <w:p>
      <w:pPr>
        <w:spacing w:after="140" w:line="300"/>
      </w:pPr>
      <w:r>
        <w:rPr>
          <w:rFonts w:ascii="Arial" w:cs="Arial" w:eastAsia="Arial" w:hAnsi="Arial"/>
          <w:b/>
          <w:bCs/>
          <w:color w:val="1B2118"/>
          <w:sz w:val="21"/>
          <w:szCs w:val="21"/>
        </w:rPr>
        <w:t xml:space="preserve">Come si usa.</w:t>
      </w:r>
      <w:r>
        <w:rPr>
          <w:rFonts w:ascii="Arial" w:cs="Arial" w:eastAsia="Arial" w:hAnsi="Arial"/>
          <w:color w:val="1B2118"/>
          <w:sz w:val="21"/>
          <w:szCs w:val="21"/>
        </w:rPr>
        <w:t xml:space="preserve"> Si scrive la domanda (o si sceglie un esempio) e si preme </w:t>
      </w:r>
      <w:r>
        <w:rPr>
          <w:rFonts w:ascii="Arial" w:cs="Arial" w:eastAsia="Arial" w:hAnsi="Arial"/>
          <w:b/>
          <w:bCs/>
          <w:color w:val="1B2118"/>
          <w:sz w:val="21"/>
          <w:szCs w:val="21"/>
        </w:rPr>
        <w:t xml:space="preserve">Invio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mentre l'assistente prepara la risposta compare «Un attimo…» (di solito pochi secondi);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ricomincia la conversazione, </w:t>
      </w:r>
      <w:r>
        <w:rPr>
          <w:rFonts w:ascii="Arial" w:cs="Arial" w:eastAsia="Arial" w:hAnsi="Arial"/>
          <w:b/>
          <w:bCs/>
          <w:color w:val="1B2118"/>
          <w:sz w:val="21"/>
          <w:szCs w:val="21"/>
        </w:rPr>
        <w:t xml:space="preserve">✕</w:t>
      </w:r>
      <w:r>
        <w:rPr>
          <w:rFonts w:ascii="Arial" w:cs="Arial" w:eastAsia="Arial" w:hAnsi="Arial"/>
          <w:color w:val="1B2118"/>
          <w:sz w:val="21"/>
          <w:szCs w:val="21"/>
        </w:rPr>
        <w:t xml:space="preserve"> chiude la finestra. La conversazione resta solo nella pagina: il portale non salva domande né risposte, conta solo quante domande fa ogni utente e i token usati (limite predefinito 40 domande al giorno per utente). Le risposte sono generate da un'intelligenza artificiale: in caso di dubbio vale il manuale.</w:t>
      </w:r>
    </w:p>
    <w:p>
      <w:pPr>
        <w:spacing w:after="140" w:line="300"/>
      </w:pPr>
      <w:r>
        <w:rPr>
          <w:rFonts w:ascii="Arial" w:cs="Arial" w:eastAsia="Arial" w:hAnsi="Arial"/>
          <w:b/>
          <w:bCs/>
          <w:color w:val="1B2118"/>
          <w:sz w:val="21"/>
          <w:szCs w:val="21"/>
        </w:rPr>
        <w:t xml:space="preserve">Attivazione e costi.</w:t>
      </w:r>
      <w:r>
        <w:rPr>
          <w:rFonts w:ascii="Arial" w:cs="Arial" w:eastAsia="Arial" w:hAnsi="Arial"/>
          <w:color w:val="1B2118"/>
          <w:sz w:val="21"/>
          <w:szCs w:val="21"/>
        </w:rPr>
        <w:t xml:space="preserve"> L'assistente è </w:t>
      </w:r>
      <w:r>
        <w:rPr>
          <w:rFonts w:ascii="Arial" w:cs="Arial" w:eastAsia="Arial" w:hAnsi="Arial"/>
          <w:b/>
          <w:bCs/>
          <w:color w:val="1B2118"/>
          <w:sz w:val="21"/>
          <w:szCs w:val="21"/>
        </w:rPr>
        <w:t xml:space="preserve">attivo dal 19/10/2026</w:t>
      </w:r>
      <w:r>
        <w:rPr>
          <w:rFonts w:ascii="Arial" w:cs="Arial" w:eastAsia="Arial" w:hAnsi="Arial"/>
          <w:color w:val="1B2118"/>
          <w:sz w:val="21"/>
          <w:szCs w:val="21"/>
        </w:rPr>
        <w:t xml:space="preserve">. Funziona con una chiave della </w:t>
      </w:r>
      <w:r>
        <w:rPr>
          <w:rFonts w:ascii="Arial" w:cs="Arial" w:eastAsia="Arial" w:hAnsi="Arial"/>
          <w:b/>
          <w:bCs/>
          <w:color w:val="1B2118"/>
          <w:sz w:val="21"/>
          <w:szCs w:val="21"/>
        </w:rPr>
        <w:t xml:space="preserve">Claude Console</w:t>
      </w:r>
      <w:r>
        <w:rPr>
          <w:rFonts w:ascii="Arial" w:cs="Arial" w:eastAsia="Arial" w:hAnsi="Arial"/>
          <w:color w:val="1B2118"/>
          <w:sz w:val="21"/>
          <w:szCs w:val="21"/>
        </w:rPr>
        <w:t xml:space="preserve"> di Anthropic, che solo Luca inserisce nei segreti di Supabase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La chiave va creata </w:t>
      </w:r>
      <w:r>
        <w:rPr>
          <w:rFonts w:ascii="Arial" w:cs="Arial" w:eastAsia="Arial" w:hAnsi="Arial"/>
          <w:b/>
          <w:bCs/>
          <w:color w:val="1B2118"/>
          <w:sz w:val="21"/>
          <w:szCs w:val="21"/>
        </w:rPr>
        <w:t xml:space="preserve">legata a un solo spazio di lavoro</w:t>
      </w:r>
      <w:r>
        <w:rPr>
          <w:rFonts w:ascii="Arial" w:cs="Arial" w:eastAsia="Arial" w:hAnsi="Arial"/>
          <w:color w:val="1B2118"/>
          <w:sz w:val="21"/>
          <w:szCs w:val="21"/>
        </w:rPr>
        <w:t xml:space="preserve"> (workspace): una chiave valida per tutti gli spazi di lavoro viene rifiutata da Anthropic. L'uso si paga con i crediti dell'organizzazione della Console a cui appartiene la chiave: con un piano Claude </w:t>
      </w:r>
      <w:r>
        <w:rPr>
          <w:rFonts w:ascii="Arial" w:cs="Arial" w:eastAsia="Arial" w:hAnsi="Arial"/>
          <w:b/>
          <w:bCs/>
          <w:color w:val="1B2118"/>
          <w:sz w:val="21"/>
          <w:szCs w:val="21"/>
        </w:rPr>
        <w:t xml:space="preserve">Max o Team</w:t>
      </w:r>
      <w:r>
        <w:rPr>
          <w:rFonts w:ascii="Arial" w:cs="Arial" w:eastAsia="Arial" w:hAnsi="Arial"/>
          <w:color w:val="1B2118"/>
          <w:sz w:val="21"/>
          <w:szCs w:val="21"/>
        </w:rPr>
        <w:t xml:space="preserve"> si possono collegare i </w:t>
      </w:r>
      <w:r>
        <w:rPr>
          <w:rFonts w:ascii="Arial" w:cs="Arial" w:eastAsia="Arial" w:hAnsi="Arial"/>
          <w:b/>
          <w:bCs/>
          <w:color w:val="1B2118"/>
          <w:sz w:val="21"/>
          <w:szCs w:val="21"/>
        </w:rPr>
        <w:t xml:space="preserve">crediti API mensili</w:t>
      </w:r>
      <w:r>
        <w:rPr>
          <w:rFonts w:ascii="Arial" w:cs="Arial" w:eastAsia="Arial" w:hAnsi="Arial"/>
          <w:color w:val="1B2118"/>
          <w:sz w:val="21"/>
          <w:szCs w:val="21"/>
        </w:rPr>
        <w:t xml:space="preserve"> del piano a quell'organizzazione (Impostazioni → Fatturazione su claude.ai); il primo accredito può arrivare dopo qualche giorno, e nel frattempo si usano i crediti acquistati nella Console (Fatturazione), che scadono dopo un anno. I crediti mensili si consumano per primi. Se il credito finisce, l'assistente risponde con un messaggio d'errore e nulla viene addebitato al piano. Saldo e consumi si vedono nella Console. Il modello predefinito è </w:t>
      </w:r>
      <w:r>
        <w:rPr>
          <w:rFonts w:ascii="Arial" w:cs="Arial" w:eastAsia="Arial" w:hAnsi="Arial"/>
          <w:b/>
          <w:bCs/>
          <w:color w:val="1B2118"/>
          <w:sz w:val="21"/>
          <w:szCs w:val="21"/>
        </w:rPr>
        <w:t xml:space="preserve">Claude Haiku 5.5</w:t>
      </w:r>
      <w:r>
        <w:rPr>
          <w:rFonts w:ascii="Arial" w:cs="Arial" w:eastAsia="Arial" w:hAnsi="Arial"/>
          <w:color w:val="1B2118"/>
          <w:sz w:val="21"/>
          <w:szCs w:val="21"/>
        </w:rPr>
        <w:t xml:space="preserve">, il più economico: la base di conoscenza si rilegge dalla cache, quindi una domanda costa di solito meno di un centesimo di dollaro.</w:t>
      </w:r>
    </w:p>
    <w:p>
      <w:pPr>
        <w:spacing w:after="140" w:line="300"/>
      </w:pPr>
      <w:r>
        <w:rPr>
          <w:rFonts w:ascii="Arial" w:cs="Arial" w:eastAsia="Arial" w:hAnsi="Arial"/>
          <w:b/>
          <w:bCs/>
          <w:color w:val="1B2118"/>
          <w:sz w:val="21"/>
          <w:szCs w:val="21"/>
        </w:rPr>
        <w:t xml:space="preserve">Quando qualcosa non va.</w:t>
      </w:r>
      <w:r>
        <w:rPr>
          <w:rFonts w:ascii="Arial" w:cs="Arial" w:eastAsia="Arial" w:hAnsi="Arial"/>
          <w:color w:val="1B2118"/>
          <w:sz w:val="21"/>
          <w:szCs w:val="21"/>
        </w:rPr>
        <w:t xml:space="preserve"> Se Claude non può rispondere, l'utente vede un messaggio in italiano semplice: «L'assistente non è disponibile in questo momento. Riprova più tardi…», oppure «arrivano troppe domande» o «momentaneamente sovraccarico» quando il problema è passeggero. Gli Amministratori leggono anche la causa tra parentesi, per esempio «il credito della Claude Console è esaurito» o «la chiave non è legata a uno spazio di lavoro». Il dettaglio tecnico, in inglese, resta nei log della funzione: Supabase → Edge Functions → assistente → Logs.</w:t>
      </w:r>
    </w:p>
    <w:p>
      <w:pPr>
        <w:spacing w:after="140" w:line="300"/>
      </w:pPr>
      <w:r>
        <w:rPr>
          <w:rFonts w:ascii="Arial" w:cs="Arial" w:eastAsia="Arial" w:hAnsi="Arial"/>
          <w:b/>
          <w:bCs/>
          <w:color w:val="1B2118"/>
          <w:sz w:val="21"/>
          <w:szCs w:val="21"/>
        </w:rPr>
        <w:t xml:space="preserve">Aggiornare le conoscenze.</w:t>
      </w:r>
      <w:r>
        <w:rPr>
          <w:rFonts w:ascii="Arial" w:cs="Arial" w:eastAsia="Arial" w:hAnsi="Arial"/>
          <w:color w:val="1B2118"/>
          <w:sz w:val="21"/>
          <w:szCs w:val="21"/>
        </w:rPr>
        <w:t xml:space="preserve"> Quando cambiano i manuali o le tariffe si rigenera la base di conoscenza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e si pubblica: l'assistente la rilegge entro 10 minuti.</w:t>
      </w:r>
    </w:p>
    <w:p>
      <w:pPr>
        <w:pStyle w:val="Heading1"/>
        <w:pageBreakBefore/>
        <w:pBdr>
          <w:bottom w:val="single" w:color="2F5D3A" w:sz="12" w:space="6"/>
        </w:pBdr>
        <w:spacing w:after="240" w:before="0"/>
      </w:pPr>
      <w:bookmarkStart w:name="cap27" w:id="1"/>
      <w:r>
        <w:rPr>
          <w:rFonts w:ascii="Arial" w:cs="Arial" w:eastAsia="Arial" w:hAnsi="Arial"/>
          <w:b/>
          <w:bCs/>
          <w:color w:val="2F5D3A"/>
          <w:sz w:val="34"/>
          <w:szCs w:val="34"/>
        </w:rPr>
        <w:t xml:space="preserve">27. Sicurezza</w:t>
      </w:r>
      <w:bookmarkEnd w:id="1"/>
    </w:p>
    <w:p>
      <w:pPr>
        <w:spacing w:after="140" w:line="300"/>
      </w:pPr>
      <w:r>
        <w:rPr>
          <w:rFonts w:ascii="Arial" w:cs="Arial" w:eastAsia="Arial" w:hAnsi="Arial"/>
          <w:b/>
          <w:bCs/>
          <w:color w:val="1B2118"/>
          <w:sz w:val="21"/>
          <w:szCs w:val="21"/>
        </w:rPr>
        <w:t xml:space="preserve">Uscita per inattività.</w:t>
      </w:r>
      <w:r>
        <w:rPr>
          <w:rFonts w:ascii="Arial" w:cs="Arial" w:eastAsia="Arial" w:hAnsi="Arial"/>
          <w:color w:val="1B2118"/>
          <w:sz w:val="21"/>
          <w:szCs w:val="21"/>
        </w:rPr>
        <w:t xml:space="preserve"> Dopo </w:t>
      </w:r>
      <w:r>
        <w:rPr>
          <w:rFonts w:ascii="Arial" w:cs="Arial" w:eastAsia="Arial" w:hAnsi="Arial"/>
          <w:b/>
          <w:bCs/>
          <w:color w:val="1B2118"/>
          <w:sz w:val="21"/>
          <w:szCs w:val="21"/>
        </w:rPr>
        <w:t xml:space="preserve">30 minuti</w:t>
      </w:r>
      <w:r>
        <w:rPr>
          <w:rFonts w:ascii="Arial" w:cs="Arial" w:eastAsia="Arial" w:hAnsi="Arial"/>
          <w:color w:val="1B2118"/>
          <w:sz w:val="21"/>
          <w:szCs w:val="21"/>
        </w:rPr>
        <w:t xml:space="preserve"> senza attività per Operatori e Amministratori, e dopo </w:t>
      </w:r>
      <w:r>
        <w:rPr>
          <w:rFonts w:ascii="Arial" w:cs="Arial" w:eastAsia="Arial" w:hAnsi="Arial"/>
          <w:b/>
          <w:bCs/>
          <w:color w:val="1B2118"/>
          <w:sz w:val="21"/>
          <w:szCs w:val="21"/>
        </w:rPr>
        <w:t xml:space="preserve">60 minuti</w:t>
      </w:r>
      <w:r>
        <w:rPr>
          <w:rFonts w:ascii="Arial" w:cs="Arial" w:eastAsia="Arial" w:hAnsi="Arial"/>
          <w:color w:val="1B2118"/>
          <w:sz w:val="21"/>
          <w:szCs w:val="21"/>
        </w:rPr>
        <w:t xml:space="preserve"> per gli utenti degli enti, compare «Sei ancora lì?». Se nessuno risponde entro 2 minuti, il portale esce da solo. L'uscita si vede in Audit User → Accessi come «Uscita (Esci) – per inattività». L'attività in un'altra scheda dello stesso browser tiene aperte tutte le schede.</w:t>
      </w:r>
    </w:p>
    <w:p>
      <w:pPr>
        <w:spacing w:after="140" w:line="300"/>
      </w:pPr>
      <w:r>
        <w:rPr>
          <w:rFonts w:ascii="Arial" w:cs="Arial" w:eastAsia="Arial" w:hAnsi="Arial"/>
          <w:b/>
          <w:bCs/>
          <w:color w:val="1B2118"/>
          <w:sz w:val="21"/>
          <w:szCs w:val="21"/>
        </w:rPr>
        <w:t xml:space="preserve">Avvisi di sicurezza all'Amministratore principale.</w:t>
      </w:r>
      <w:r>
        <w:rPr>
          <w:rFonts w:ascii="Arial" w:cs="Arial" w:eastAsia="Arial" w:hAnsi="Arial"/>
          <w:color w:val="1B2118"/>
          <w:sz w:val="21"/>
          <w:szCs w:val="21"/>
        </w:rPr>
        <w:t xml:space="preserve"> Arrivano come notifica nella campanella e per email (script 34):</w:t>
      </w:r>
    </w:p>
    <w:p>
      <w:pPr>
        <w:pStyle w:val="ListParagraph"/>
        <w:numPr>
          <w:ilvl w:val="0"/>
          <w:numId w:val="2"/>
        </w:numPr>
        <w:spacing w:after="70" w:line="290"/>
      </w:pPr>
      <w:r>
        <w:rPr>
          <w:rFonts w:ascii="Arial" w:cs="Arial" w:eastAsia="Arial" w:hAnsi="Arial"/>
          <w:b/>
          <w:bCs/>
          <w:color w:val="1B2118"/>
          <w:sz w:val="21"/>
          <w:szCs w:val="21"/>
        </w:rPr>
        <w:t xml:space="preserve">Accessi non riusciti ripetuti</w:t>
      </w:r>
      <w:r>
        <w:rPr>
          <w:rFonts w:ascii="Arial" w:cs="Arial" w:eastAsia="Arial" w:hAnsi="Arial"/>
          <w:color w:val="1B2118"/>
          <w:sz w:val="21"/>
          <w:szCs w:val="21"/>
        </w:rPr>
        <w:t xml:space="preserve">: 5 tentativi falliti in 15 minuti per la stessa email;</w:t>
      </w:r>
    </w:p>
    <w:p>
      <w:pPr>
        <w:pStyle w:val="ListParagraph"/>
        <w:numPr>
          <w:ilvl w:val="0"/>
          <w:numId w:val="2"/>
        </w:numPr>
        <w:spacing w:after="70" w:line="290"/>
      </w:pPr>
      <w:r>
        <w:rPr>
          <w:rFonts w:ascii="Arial" w:cs="Arial" w:eastAsia="Arial" w:hAnsi="Arial"/>
          <w:b/>
          <w:bCs/>
          <w:color w:val="1B2118"/>
          <w:sz w:val="21"/>
          <w:szCs w:val="21"/>
        </w:rPr>
        <w:t xml:space="preserve">Molti accessi non riusciti</w:t>
      </w:r>
      <w:r>
        <w:rPr>
          <w:rFonts w:ascii="Arial" w:cs="Arial" w:eastAsia="Arial" w:hAnsi="Arial"/>
          <w:color w:val="1B2118"/>
          <w:sz w:val="21"/>
          <w:szCs w:val="21"/>
        </w:rPr>
        <w:t xml:space="preserve">: 30 tentativi falliti in un'ora, su più email (possibile attacco);</w:t>
      </w:r>
    </w:p>
    <w:p>
      <w:pPr>
        <w:pStyle w:val="ListParagraph"/>
        <w:numPr>
          <w:ilvl w:val="0"/>
          <w:numId w:val="2"/>
        </w:numPr>
        <w:spacing w:after="70" w:line="290"/>
      </w:pPr>
      <w:r>
        <w:rPr>
          <w:rFonts w:ascii="Arial" w:cs="Arial" w:eastAsia="Arial" w:hAnsi="Arial"/>
          <w:b/>
          <w:bCs/>
          <w:color w:val="1B2118"/>
          <w:sz w:val="21"/>
          <w:szCs w:val="21"/>
        </w:rPr>
        <w:t xml:space="preserve">Nuovo Amministratore</w:t>
      </w:r>
      <w:r>
        <w:rPr>
          <w:rFonts w:ascii="Arial" w:cs="Arial" w:eastAsia="Arial" w:hAnsi="Arial"/>
          <w:color w:val="1B2118"/>
          <w:sz w:val="21"/>
          <w:szCs w:val="21"/>
        </w:rPr>
        <w:t xml:space="preserve">: un utente ottiene il ruolo di Amministratore. Se l'hai nominato tu, l'avviso non arriva.</w:t>
      </w:r>
    </w:p>
    <w:p>
      <w:pPr>
        <w:spacing w:after="140" w:line="300"/>
      </w:pPr>
      <w:r>
        <w:rPr>
          <w:rFonts w:ascii="Arial" w:cs="Arial" w:eastAsia="Arial" w:hAnsi="Arial"/>
          <w:color w:val="1B2118"/>
          <w:sz w:val="21"/>
          <w:szCs w:val="21"/>
        </w:rPr>
        <w:t xml:space="preserve">Davanti a un avviso inatteso: controlla Audit User → Accessi e Operazioni; se serve, disattiva l'utente da Utenti oppure reimposta la password.</w:t>
      </w:r>
    </w:p>
    <w:p>
      <w:pPr>
        <w:spacing w:after="140" w:line="300"/>
      </w:pPr>
      <w:r>
        <w:rPr>
          <w:rFonts w:ascii="Arial" w:cs="Arial" w:eastAsia="Arial" w:hAnsi="Arial"/>
          <w:b/>
          <w:bCs/>
          <w:color w:val="1B2118"/>
          <w:sz w:val="21"/>
          <w:szCs w:val="21"/>
        </w:rPr>
        <w:t xml:space="preserve">Protezioni del sito.</w:t>
      </w:r>
      <w:r>
        <w:rPr>
          <w:rFonts w:ascii="Arial" w:cs="Arial" w:eastAsia="Arial" w:hAnsi="Arial"/>
          <w:color w:val="1B2118"/>
          <w:sz w:val="21"/>
          <w:szCs w:val="21"/>
        </w:rPr>
        <w:t xml:space="preserve"> Il portale si apre solo in https e non si può incorporare in pagine di altri siti (contro il clickjacking). Carica programmi solo da sé stesso e si collega solo a Supabase. Le librerie vengono controllate a ogni rilascio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al 20/10/2026). Le regole sono nel file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se cambia il progetto Supabase, va aggiornato anche lì (vedi Istruzioni di ripristino).</w:t>
      </w:r>
    </w:p>
    <w:p>
      <w:pPr>
        <w:spacing w:after="140" w:line="30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Le funzioni riservate non sono eseguibili da chi non ha fatto l'accesso. Ogni funzione ha il percorso di ricerca fisso, come raccomanda il Security Advisor di Supabase (Supabase → Advisors → Security Advisor). Il controllo si rifà dopo ogni nuovo script.</w:t>
      </w:r>
    </w:p>
    <w:p>
      <w:pPr>
        <w:pStyle w:val="Heading1"/>
        <w:pageBreakBefore/>
        <w:pBdr>
          <w:bottom w:val="single" w:color="2F5D3A" w:sz="12" w:space="6"/>
        </w:pBdr>
        <w:spacing w:after="240" w:before="0"/>
      </w:pPr>
      <w:bookmarkStart w:name="cap28" w:id="1"/>
      <w:r>
        <w:rPr>
          <w:rFonts w:ascii="Arial" w:cs="Arial" w:eastAsia="Arial" w:hAnsi="Arial"/>
          <w:b/>
          <w:bCs/>
          <w:color w:val="2F5D3A"/>
          <w:sz w:val="34"/>
          <w:szCs w:val="34"/>
        </w:rPr>
        <w:t xml:space="preserve">28.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9" w:id="1"/>
      <w:r>
        <w:rPr>
          <w:rFonts w:ascii="Arial" w:cs="Arial" w:eastAsia="Arial" w:hAnsi="Arial"/>
          <w:b/>
          <w:bCs/>
          <w:color w:val="2F5D3A"/>
          <w:sz w:val="34"/>
          <w:szCs w:val="34"/>
        </w:rPr>
        <w:t xml:space="preserve">29.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disponibile con PDF impaginato ed export Excel (capitolo «Simulatore di scenari»). In arrivo, se la Fondazione lo decide, la visione dello scenario da parte del Comune.</w:t>
      </w:r>
    </w:p>
    <w:p>
      <w:pPr>
        <w:pStyle w:val="ListParagraph"/>
        <w:numPr>
          <w:ilvl w:val="0"/>
          <w:numId w:val="2"/>
        </w:numPr>
        <w:spacing w:after="70" w:line="290"/>
      </w:pPr>
      <w:r>
        <w:rPr>
          <w:rFonts w:ascii="Arial" w:cs="Arial" w:eastAsia="Arial" w:hAnsi="Arial"/>
          <w:b/>
          <w:bCs/>
          <w:color w:val="1B2118"/>
          <w:sz w:val="21"/>
          <w:szCs w:val="21"/>
        </w:rPr>
        <w:t xml:space="preserve">Assistente virtuale, passi successivi:</w:t>
      </w:r>
      <w:r>
        <w:rPr>
          <w:rFonts w:ascii="Arial" w:cs="Arial" w:eastAsia="Arial" w:hAnsi="Arial"/>
          <w:color w:val="1B2118"/>
          <w:sz w:val="21"/>
          <w:szCs w:val="21"/>
        </w:rPr>
        <w:t xml:space="preserve"> la prima versione risponde sul funzionamento del portale (capitolo «Assistente virtuale»). In arrivo: estensione agli Operatori e, con regole sulla privacy, l'aiuto sulla singola pratica (cosa manca, bozze di richieste di integrazione e di risposte, spiegazione dei risultati del calcolo). Resta un supporto: le decisioni restano alla Fondazione.</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5.7 · 23/10/2026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5.7 · 23/10/2026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kh4opyjvb9aeaocyoposq"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5.7)</dc:title>
  <dc:creator>Fondazione Operate</dc:creator>
  <cp:lastModifiedBy>Un-named</cp:lastModifiedBy>
  <cp:revision>1</cp:revision>
  <dcterms:created xsi:type="dcterms:W3CDTF">2026-10-23T08:27:43.865Z</dcterms:created>
  <dcterms:modified xsi:type="dcterms:W3CDTF">2026-10-23T08:27:43.865Z</dcterms:modified>
</cp:coreProperties>
</file>

<file path=docProps/custom.xml><?xml version="1.0" encoding="utf-8"?>
<Properties xmlns="http://schemas.openxmlformats.org/officeDocument/2006/custom-properties" xmlns:vt="http://schemas.openxmlformats.org/officeDocument/2006/docPropsVTypes"/>
</file>