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1.3</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1.3 del 18/10/2026.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8</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9</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8">
        <w:r>
          <w:rPr>
            <w:rFonts w:ascii="Arial" w:cs="Arial" w:eastAsia="Arial" w:hAnsi="Arial"/>
            <w:color w:val="1B2118"/>
            <w:sz w:val="22"/>
            <w:szCs w:val="22"/>
          </w:rPr>
          <w:t xml:space="preserve">8.  Consultazione pubblica</w:t>
        </w:r>
        <w:r>
          <w:rPr>
            <w:rFonts w:ascii="Arial" w:cs="Arial" w:eastAsia="Arial" w:hAnsi="Arial"/>
            <w:color w:val="1B2118"/>
            <w:sz w:val="22"/>
            <w:szCs w:val="22"/>
          </w:rPr>
          <w:tab/>
          <w:t xml:space="preserve">11</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13</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14</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15</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16</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17</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18</w:t>
        </w:r>
      </w:hyperlink>
    </w:p>
    <w:p>
      <w:pPr>
        <w:tabs>
          <w:tab w:val="right" w:pos="9638" w:leader="dot"/>
        </w:tabs>
        <w:spacing w:after="130"/>
      </w:pPr>
      <w:hyperlink w:history="1" w:anchor="cap15">
        <w:r>
          <w:rPr>
            <w:rFonts w:ascii="Arial" w:cs="Arial" w:eastAsia="Arial" w:hAnsi="Arial"/>
            <w:color w:val="1B2118"/>
            <w:sz w:val="22"/>
            <w:szCs w:val="22"/>
          </w:rPr>
          <w:t xml:space="preserve">15.  Impostazioni: fasi, Enti di Validazione e modelli</w:t>
        </w:r>
        <w:r>
          <w:rPr>
            <w:rFonts w:ascii="Arial" w:cs="Arial" w:eastAsia="Arial" w:hAnsi="Arial"/>
            <w:color w:val="1B2118"/>
            <w:sz w:val="22"/>
            <w:szCs w:val="22"/>
          </w:rPr>
          <w:tab/>
          <w:t xml:space="preserve">19</w:t>
        </w:r>
      </w:hyperlink>
    </w:p>
    <w:p>
      <w:pPr>
        <w:tabs>
          <w:tab w:val="right" w:pos="9638" w:leader="dot"/>
        </w:tabs>
        <w:spacing w:after="130"/>
      </w:pPr>
      <w:hyperlink w:history="1" w:anchor="cap16">
        <w:r>
          <w:rPr>
            <w:rFonts w:ascii="Arial" w:cs="Arial" w:eastAsia="Arial" w:hAnsi="Arial"/>
            <w:color w:val="1B2118"/>
            <w:sz w:val="22"/>
            <w:szCs w:val="22"/>
          </w:rPr>
          <w:t xml:space="preserve">16.  Calcolo dei crediti CWP</w:t>
        </w:r>
        <w:r>
          <w:rPr>
            <w:rFonts w:ascii="Arial" w:cs="Arial" w:eastAsia="Arial" w:hAnsi="Arial"/>
            <w:color w:val="1B2118"/>
            <w:sz w:val="22"/>
            <w:szCs w:val="22"/>
          </w:rPr>
          <w:tab/>
          <w:t xml:space="preserve">21</w:t>
        </w:r>
      </w:hyperlink>
    </w:p>
    <w:p>
      <w:pPr>
        <w:tabs>
          <w:tab w:val="right" w:pos="9638" w:leader="dot"/>
        </w:tabs>
        <w:spacing w:after="130"/>
      </w:pPr>
      <w:hyperlink w:history="1" w:anchor="cap17">
        <w:r>
          <w:rPr>
            <w:rFonts w:ascii="Arial" w:cs="Arial" w:eastAsia="Arial" w:hAnsi="Arial"/>
            <w:color w:val="1B2118"/>
            <w:sz w:val="22"/>
            <w:szCs w:val="22"/>
          </w:rPr>
          <w:t xml:space="preserve">17.  Documentazione e manuali</w:t>
        </w:r>
        <w:r>
          <w:rPr>
            <w:rFonts w:ascii="Arial" w:cs="Arial" w:eastAsia="Arial" w:hAnsi="Arial"/>
            <w:color w:val="1B2118"/>
            <w:sz w:val="22"/>
            <w:szCs w:val="22"/>
          </w:rPr>
          <w:tab/>
          <w:t xml:space="preserve">26</w:t>
        </w:r>
      </w:hyperlink>
    </w:p>
    <w:p>
      <w:pPr>
        <w:tabs>
          <w:tab w:val="right" w:pos="9638" w:leader="dot"/>
        </w:tabs>
        <w:spacing w:after="130"/>
      </w:pPr>
      <w:hyperlink w:history="1" w:anchor="cap18">
        <w:r>
          <w:rPr>
            <w:rFonts w:ascii="Arial" w:cs="Arial" w:eastAsia="Arial" w:hAnsi="Arial"/>
            <w:color w:val="1B2118"/>
            <w:sz w:val="22"/>
            <w:szCs w:val="22"/>
          </w:rPr>
          <w:t xml:space="preserve">18.  Manutenzione ed emergenze</w:t>
        </w:r>
        <w:r>
          <w:rPr>
            <w:rFonts w:ascii="Arial" w:cs="Arial" w:eastAsia="Arial" w:hAnsi="Arial"/>
            <w:color w:val="1B2118"/>
            <w:sz w:val="22"/>
            <w:szCs w:val="22"/>
          </w:rPr>
          <w:tab/>
          <w:t xml:space="preserve">27</w:t>
        </w:r>
      </w:hyperlink>
    </w:p>
    <w:p>
      <w:pPr>
        <w:tabs>
          <w:tab w:val="right" w:pos="9638" w:leader="dot"/>
        </w:tabs>
        <w:spacing w:after="130"/>
      </w:pPr>
      <w:hyperlink w:history="1" w:anchor="cap19">
        <w:r>
          <w:rPr>
            <w:rFonts w:ascii="Arial" w:cs="Arial" w:eastAsia="Arial" w:hAnsi="Arial"/>
            <w:color w:val="1B2118"/>
            <w:sz w:val="22"/>
            <w:szCs w:val="22"/>
          </w:rPr>
          <w:t xml:space="preserve">19.  Funzioni in arrivo</w:t>
        </w:r>
        <w:r>
          <w:rPr>
            <w:rFonts w:ascii="Arial" w:cs="Arial" w:eastAsia="Arial" w:hAnsi="Arial"/>
            <w:color w:val="1B2118"/>
            <w:sz w:val="22"/>
            <w:szCs w:val="22"/>
          </w:rPr>
          <w:tab/>
          <w:t xml:space="preserve">28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52"/>
        <w:gridCol w:w="2576"/>
        <w:gridCol w:w="2010"/>
      </w:tblGrid>
      <w:tr>
        <w:trPr>
          <w:tblHeader/>
        </w:trPr>
        <w:tc>
          <w:tcPr>
            <w:tcW w:type="dxa" w:w="5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5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consultazione, pagamenti</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(durata delle fasi, Enti di Validazione, modelli)</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il suo rapporto viene caricato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modifica di una scadenza,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r1ccahdp7cr5i5e2glhmg">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Crediti CWP,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6"/>
        <w:gridCol w:w="6632"/>
      </w:tblGrid>
      <w:tr>
        <w:trPr>
          <w:tblHeader/>
        </w:trPr>
        <w:tc>
          <w:tcPr>
            <w:tcW w:type="dxa" w:w="30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6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attive</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pubbliche aperte</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consultazione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5"/>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Ogni Rapporto ha fasi, documenti e pagamenti propri, senza consultazione pubblica.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referente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9"/>
        <w:gridCol w:w="1537"/>
        <w:gridCol w:w="6252"/>
      </w:tblGrid>
      <w:tr>
        <w:trPr>
          <w:tblHeader/>
        </w:trPr>
        <w:tc>
          <w:tcPr>
            <w:tcW w:type="dxa" w:w="18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15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62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18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15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62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18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15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18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15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18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15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bl>
    <w:p>
      <w:pPr>
        <w:spacing w:after="160"/>
      </w:pP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in Impostazioni (capitolo «Impostazioni»).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68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2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68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Annulla, Chiudi pratica</w:t>
            </w:r>
          </w:p>
        </w:tc>
      </w:tr>
      <w:tr>
        <w:trPr>
          <w:cantSplit/>
        </w:trPr>
        <w:tc>
          <w:tcPr>
            <w:tcW w:type="dxa" w:w="2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68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w:t>
            </w:r>
          </w:p>
        </w:tc>
      </w:tr>
      <w:tr>
        <w:trPr>
          <w:cantSplit/>
        </w:trPr>
        <w:tc>
          <w:tcPr>
            <w:tcW w:type="dxa" w:w="2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68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w:t>
            </w:r>
          </w:p>
        </w:tc>
      </w:tr>
      <w:tr>
        <w:trPr>
          <w:cantSplit/>
        </w:trPr>
        <w:tc>
          <w:tcPr>
            <w:tcW w:type="dxa" w:w="2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68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6"/>
        </w:numPr>
        <w:spacing w:after="70" w:line="290"/>
      </w:pPr>
      <w:r>
        <w:rPr>
          <w:rFonts w:ascii="Arial" w:cs="Arial" w:eastAsia="Arial" w:hAnsi="Arial"/>
          <w:color w:val="1B2118"/>
          <w:sz w:val="21"/>
          <w:szCs w:val="21"/>
        </w:rPr>
        <w:t xml:space="preserve">Premete il pulsante desiderato.</w:t>
      </w:r>
    </w:p>
    <w:p>
      <w:pPr>
        <w:pStyle w:val="ListParagraph"/>
        <w:numPr>
          <w:ilvl w:val="0"/>
          <w:numId w:val="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o chiusa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contratto, allegati, documentazione amministrativa).</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Contratto, Allegato al contratto, Documentazione amministrativa, Documento di progetto, Rapporto dell'Ente di Validazione, Integrazione, Altro.</w:t>
      </w:r>
    </w:p>
    <w:p>
      <w:pPr>
        <w:pStyle w:val="ListParagraph"/>
        <w:numPr>
          <w:ilvl w:val="0"/>
          <w:numId w:val="7"/>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la modifica è registrata nell'audit. Il Rapporto di RINA va caricato con tipologia </w:t>
      </w:r>
      <w:r>
        <w:rPr>
          <w:rFonts w:ascii="Arial" w:cs="Arial" w:eastAsia="Arial" w:hAnsi="Arial"/>
          <w:i/>
          <w:iCs/>
          <w:color w:val="1B2118"/>
          <w:sz w:val="21"/>
          <w:szCs w:val="21"/>
        </w:rPr>
        <w:t xml:space="preserve">Rapporto dell'Ente di Validazione</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8"/>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8"/>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8"/>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Consultazione pubblica</w:t>
      </w:r>
      <w:bookmarkEnd w:id="1"/>
    </w:p>
    <w:p>
      <w:pPr>
        <w:spacing w:after="140" w:line="300"/>
      </w:pPr>
      <w:r>
        <w:rPr>
          <w:rFonts w:ascii="Arial" w:cs="Arial" w:eastAsia="Arial" w:hAnsi="Arial"/>
          <w:color w:val="1B2118"/>
          <w:sz w:val="21"/>
          <w:szCs w:val="21"/>
        </w:rPr>
        <w:t xml:space="preserve">La consultazione pubblica riguarda solo i Progetti (fase 3) e dura 30 giorni.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aperta a tutti senza credenziali e collegata anche dalla pagina di accesso.</w:t>
      </w:r>
    </w:p>
    <w:p>
      <w:pPr>
        <w:spacing w:after="140" w:line="300"/>
      </w:pPr>
      <w:r>
        <w:rPr>
          <w:rFonts w:ascii="Arial" w:cs="Arial" w:eastAsia="Arial" w:hAnsi="Arial"/>
          <w:b/>
          <w:bCs/>
          <w:color w:val="1B2118"/>
          <w:sz w:val="21"/>
          <w:szCs w:val="21"/>
        </w:rPr>
        <w:t xml:space="preserve">Aprire la consultazione</w:t>
      </w:r>
    </w:p>
    <w:p>
      <w:pPr>
        <w:pStyle w:val="ListParagraph"/>
        <w:numPr>
          <w:ilvl w:val="0"/>
          <w:numId w:val="9"/>
        </w:numPr>
        <w:spacing w:after="70" w:line="290"/>
      </w:pPr>
      <w:r>
        <w:rPr>
          <w:rFonts w:ascii="Arial" w:cs="Arial" w:eastAsia="Arial" w:hAnsi="Arial"/>
          <w:color w:val="1B2118"/>
          <w:sz w:val="21"/>
          <w:szCs w:val="21"/>
        </w:rPr>
        <w:t xml:space="preserve">Caricate prima il documento da sottoporre a consultazione (capitolo «Documenti e visibilità»).</w:t>
      </w:r>
    </w:p>
    <w:p>
      <w:pPr>
        <w:pStyle w:val="ListParagraph"/>
        <w:numPr>
          <w:ilvl w:val="0"/>
          <w:numId w:val="9"/>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Consultazione pubblica</w:t>
      </w:r>
      <w:r>
        <w:rPr>
          <w:rFonts w:ascii="Arial" w:cs="Arial" w:eastAsia="Arial" w:hAnsi="Arial"/>
          <w:color w:val="1B2118"/>
          <w:sz w:val="21"/>
          <w:szCs w:val="21"/>
        </w:rPr>
        <w:t xml:space="preserve"> della pratica scegliete il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consultazione</w:t>
      </w:r>
      <w:r>
        <w:rPr>
          <w:rFonts w:ascii="Arial" w:cs="Arial" w:eastAsia="Arial" w:hAnsi="Arial"/>
          <w:color w:val="1B2118"/>
          <w:sz w:val="21"/>
          <w:szCs w:val="21"/>
        </w:rPr>
        <w:t xml:space="preserve">. Il periodo va da oggi a 30 giorni dopo, il Comune riceve la notifica e la consultazione compare nell'elenco pubblico.</w:t>
      </w:r>
    </w:p>
    <w:p>
      <w:pPr>
        <w:spacing w:after="60"/>
      </w:pP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Lo staff vede di ogni osservazione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può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(motivazione «Non ammesso dal moderatore»)</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consultazione contiene un errore:</w:t>
      </w:r>
    </w:p>
    <w:p>
      <w:pPr>
        <w:pStyle w:val="ListParagraph"/>
        <w:numPr>
          <w:ilvl w:val="0"/>
          <w:numId w:val="10"/>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0"/>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30 giorni da oggi</w:t>
      </w:r>
      <w:r>
        <w:rPr>
          <w:rFonts w:ascii="Arial" w:cs="Arial" w:eastAsia="Arial" w:hAnsi="Arial"/>
          <w:color w:val="1B2118"/>
          <w:sz w:val="21"/>
          <w:szCs w:val="21"/>
        </w:rPr>
        <w:t xml:space="preserve">: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la consultazione.</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consultazione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una consultazione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 incasso</w:t>
      </w:r>
    </w:p>
    <w:p>
      <w:pPr>
        <w:pStyle w:val="ListParagraph"/>
        <w:numPr>
          <w:ilvl w:val="0"/>
          <w:numId w:val="12"/>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Il portale registra automaticamente chi ha inserito l'incasso, e l'operazione finisce nell'audit.</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5938"/>
      </w:tblGrid>
      <w:tr>
        <w:trPr>
          <w:tblHeader/>
        </w:trPr>
        <w:tc>
          <w:tcPr>
            <w:tcW w:type="dxa" w:w="37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5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delle fasi e dei documenti, con l'impronta SHA-256</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consultazione.csv, consultazione_info.txt</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c'è stata una consultazione</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e audit.</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2"/>
        <w:gridCol w:w="5096"/>
      </w:tblGrid>
      <w:tr>
        <w:trPr>
          <w:tblHeader/>
        </w:trPr>
        <w:tc>
          <w:tcPr>
            <w:tcW w:type="dxa" w:w="45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50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consultazione pubblica o esce un'errata corrige</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Creare un utente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w:t>
      </w:r>
    </w:p>
    <w:p>
      <w:pPr>
        <w:pStyle w:val="ListParagraph"/>
        <w:numPr>
          <w:ilvl w:val="0"/>
          <w:numId w:val="13"/>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4"/>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4"/>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4"/>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cambi di stato della pratica, caricamenti di documenti con la versione, modifiche di visibilità, apertura e chiusura della consultazione, moderazione delle osservazioni, richieste e chiusure di integrazione, incassi,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Impostazioni: fasi, Enti di Validazione e modelli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ha tre sezioni: durata delle fasi, Enti di Validazione e modelli di documento.</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La sezione fissa quanti giorni dura ogni fase. Quando un Operatore apre una fase, la scadenza è calcolata con questi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1"/>
        <w:gridCol w:w="3096"/>
        <w:gridCol w:w="2451"/>
      </w:tblGrid>
      <w:tr>
        <w:trPr>
          <w:tblHeader/>
        </w:trPr>
        <w:tc>
          <w:tcPr>
            <w:tcW w:type="dxa" w:w="40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30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4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Consultazione pubblica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15"/>
        </w:numPr>
        <w:spacing w:after="70" w:line="290"/>
      </w:pPr>
      <w:r>
        <w:rPr>
          <w:rFonts w:ascii="Arial" w:cs="Arial" w:eastAsia="Arial" w:hAnsi="Arial"/>
          <w:color w:val="1B2118"/>
          <w:sz w:val="21"/>
          <w:szCs w:val="21"/>
        </w:rPr>
        <w:t xml:space="preserve">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15"/>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che validano i Progetti (ad esempio RINA). Gli enti non accedono al portale.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w:t>
      </w:r>
    </w:p>
    <w:p>
      <w:pPr>
        <w:pStyle w:val="ListParagraph"/>
        <w:numPr>
          <w:ilvl w:val="0"/>
          <w:numId w:val="1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17"/>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(il modello comparirà dentro quella fase in ogni pratica,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1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Calcolo dei crediti CWP</w:t>
      </w:r>
      <w:bookmarkEnd w:id="1"/>
    </w:p>
    <w:p>
      <w:pPr>
        <w:spacing w:after="140" w:line="300"/>
      </w:pPr>
      <w:r>
        <w:rPr>
          <w:rFonts w:ascii="Arial" w:cs="Arial" w:eastAsia="Arial" w:hAnsi="Arial"/>
          <w:color w:val="1B2118"/>
          <w:sz w:val="21"/>
          <w:szCs w:val="21"/>
        </w:rPr>
        <w:t xml:space="preserve">La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dal 30% in giù (Tabelle 15 e 16)</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18"/>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19"/>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parte dal 30% e si riduce in base a come il Comune misura i conferimenti: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w:t>
      </w:r>
    </w:p>
    <w:p>
      <w:pPr>
        <w:pStyle w:val="ListParagraph"/>
        <w:numPr>
          <w:ilvl w:val="0"/>
          <w:numId w:val="20"/>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spacing w:after="140" w:line="300"/>
      </w:pPr>
      <w:r>
        <w:rPr>
          <w:rFonts w:ascii="Arial" w:cs="Arial" w:eastAsia="Arial" w:hAnsi="Arial"/>
          <w:b/>
          <w:bCs/>
          <w:color w:val="1B2118"/>
          <w:sz w:val="21"/>
          <w:szCs w:val="21"/>
        </w:rPr>
        <w:t xml:space="preserve">Da completare.</w:t>
      </w:r>
      <w:r>
        <w:rPr>
          <w:rFonts w:ascii="Arial" w:cs="Arial" w:eastAsia="Arial" w:hAnsi="Arial"/>
          <w:color w:val="1B2118"/>
          <w:sz w:val="21"/>
          <w:szCs w:val="21"/>
        </w:rPr>
        <w:t xml:space="preserve"> Le regole dello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 e della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per emissione, trasferimento e annullamento dei crediti verranno aggiunte al registro quando i documenti saranno disponibili.</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regole del registro previste dallo Standard CWP (emissione, trasferimento, annullamento dei crediti).</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spacing w:after="140" w:line="300"/>
      </w:pPr>
      <w:r>
        <w:rPr>
          <w:rFonts w:ascii="Arial" w:cs="Arial" w:eastAsia="Arial" w:hAnsi="Arial"/>
          <w:color w:val="1B2118"/>
          <w:sz w:val="21"/>
          <w:szCs w:val="21"/>
        </w:rPr>
        <w:t xml:space="preserve">In valutazione: un </w:t>
      </w:r>
      <w:r>
        <w:rPr>
          <w:rFonts w:ascii="Arial" w:cs="Arial" w:eastAsia="Arial" w:hAnsi="Arial"/>
          <w:b/>
          <w:bCs/>
          <w:color w:val="1B2118"/>
          <w:sz w:val="21"/>
          <w:szCs w:val="21"/>
        </w:rPr>
        <w:t xml:space="preserve">assistente AI (Claude) integrato nel portale</w:t>
      </w:r>
      <w:r>
        <w:rPr>
          <w:rFonts w:ascii="Arial" w:cs="Arial" w:eastAsia="Arial" w:hAnsi="Arial"/>
          <w:color w:val="1B2118"/>
          <w:sz w:val="21"/>
          <w:szCs w:val="21"/>
        </w:rPr>
        <w:t xml:space="preserve">, per aiutare i Comuni nella compilazione e gli Operatori nei controlli.</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1.3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1.3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r1ccahdp7cr5i5e2glhmg"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1.3)</dc:title>
  <dc:creator>Fondazione Operate</dc:creator>
  <cp:lastModifiedBy>Un-named</cp:lastModifiedBy>
  <cp:revision>1</cp:revision>
  <dcterms:created xsi:type="dcterms:W3CDTF">2026-10-18T13:23:41.577Z</dcterms:created>
  <dcterms:modified xsi:type="dcterms:W3CDTF">2026-10-18T13:23:41.577Z</dcterms:modified>
</cp:coreProperties>
</file>

<file path=docProps/custom.xml><?xml version="1.0" encoding="utf-8"?>
<Properties xmlns="http://schemas.openxmlformats.org/officeDocument/2006/custom-properties" xmlns:vt="http://schemas.openxmlformats.org/officeDocument/2006/docPropsVTypes"/>
</file>