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1.3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18/10/2026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1.3 del 18/10/2026,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bzjs38vikz4h5oubzz5np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(fino al 30%) trattenuta a garanzia, più bassa se il Comune misura bene i conferimenti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aderisce, fornisce documenti e dati: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 e calcolano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il suo rapporto viene caricato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la consultazione pubblica.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in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6"/>
        <w:gridCol w:w="1032"/>
        <w:gridCol w:w="5630"/>
      </w:tblGrid>
      <w:tr>
        <w:trPr>
          <w:tblHeader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Durata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aderisce; la Fondazione apre la pratica e carica il contratto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del Comune e chiede integrazioni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Consultazione pubblica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di progetto è pubblicato e chiunque può fare osservazioni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 / pubblicazione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di Validazione verifica il progetto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 della documentazione</w:t>
            </w:r>
          </w:p>
        </w:tc>
      </w:tr>
      <w:tr>
        <w:trPr>
          <w:cantSplit/>
        </w:trPr>
        <w:tc>
          <w:tcPr>
            <w:tcW w:type="dxa" w:w="29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03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63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validato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validazione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(fino a 10 anni): ogni Rapporto è una pratica con le sue fasi, e per ogni anno si calcolano i crediti.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5546"/>
        <w:gridCol w:w="2082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codice automatico (CWP-AAAA-NNNN), stati attiva / sospesa / annullata / chiusa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con apertura, scadenza calcolata, chiusura, modifica della scadenza con motivazione; note di fase interne o condivise; modelli da scaricare per fase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visibilità, controllo di formato e contenuto, impronta di integrità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pubblica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giorni; osservazioni con email confermata e allegato; moderazione; risposte del Comune; errata corrige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e incassi registrati a mano (nessun pagamento online)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Cruscotto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fase, scadenza e cose da fare, filtri e ricerca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utenti, associazione ai Comuni, reimpostazione password, durata delle fasi, Enti di Validazione, modelli di documento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rapporto PDF, conferma con numero di registro, registro dei crediti, nuove versioni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55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08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da 10 a 12 giorni con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CWP-AAAA-NNNN con 7 fasi; la fase 1 è In corso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annotate la password temporanea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Enti di Validazione: + Nuovo ente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la fase 1 e uno Generale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24"/>
        <w:gridCol w:w="4496"/>
        <w:gridCol w:w="4318"/>
      </w:tblGrid>
      <w:tr>
        <w:trPr>
          <w:tblHeader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Contratto, visibile al Cliente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(stesso nome)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+ Voce di pagamento (quota di adesione, importo, scadenza), poi Registra incasso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Pagato con data; operazione in Audit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voce è visibile in sola lettura, senza pulsanti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→ Assegna «RINA (prova)»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9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31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caricate un documento di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 Cruscotto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Consultazione pubblica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Consultazione pubblica scegliete il documento di progetto e Apri consultazione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Attiva per 30 giorni; notifica al Comune;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Consultazioni pubbliche (link nella pagina di accesso) e la consultazione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 e Non pubblicare un'altra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 staff vede nome, email e allegato;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consultazione,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Consultazione Chiusa;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e caricate un PDF con tipologia «Rapporto dell'Ente di Validazione»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5,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documenti e riepiloghi; pagamenti e audit solo nell'export dello staff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la pratica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le sue 7 fasi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Crediti CWP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Crediti CWP → Registro dei crediti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più alcun dato; riattivatelo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Crediti CWP; provate anche a scrivere l'indirizzo (es. /utenti)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Formato dati, Manuale; solo le pratiche del proprio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Cruscotto: provate riquadri, filtri e ricerca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della consultazione)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regole del registro dei crediti previste dallo Standard CWP; registro di sicurezza; antivirus.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1.3 · 18/10/2026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1.3 · 18/10/2026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bzjs38vikz4h5oubzz5np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1.3)</dc:title>
  <dc:creator>Fondazione Operate</dc:creator>
  <cp:lastModifiedBy>Un-named</cp:lastModifiedBy>
  <cp:revision>1</cp:revision>
  <dcterms:created xsi:type="dcterms:W3CDTF">2026-10-18T13:23:55.037Z</dcterms:created>
  <dcterms:modified xsi:type="dcterms:W3CDTF">2026-10-18T13:23:55.037Z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