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30/10/2026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TEST_PORTALE_CWP: nomi delle fasi, stato nel Programma e nuovi riquadri in Dashboard, verifiche documentali complete, codice sempre automatico, codice fiscale e partita IVA, data di approvazione degli enti, ricorso e costi dei reclami, anno di monitoraggio e anno di riferimento nel calcolo, ex post solo su anni conclusi e Progetti registrati, risultati non aggiornati, riferimento del simulatore come da Standard, niente taratura, valore ipotetico del credito, Banca Dati Utenze senza nomi e indirizzi, CSV dell'Audit.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di Borgoval (simulatore e calcolo con 10.778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dei siti: siti che rifiutano i programmi automatici.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sempre obbligatorio; Progetti esistenti a Caso 1.</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6.9 del 30/10/2026.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46</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50</w:t>
        </w:r>
      </w:hyperlink>
    </w:p>
    <w:p>
      <w:pPr>
        <w:tabs>
          <w:tab w:val="right" w:pos="9638" w:leader="dot"/>
        </w:tabs>
        <w:spacing w:after="130"/>
      </w:pPr>
      <w:hyperlink w:history="1" w:anchor="cap21">
        <w:r>
          <w:rPr>
            <w:rFonts w:ascii="Arial" w:cs="Arial" w:eastAsia="Arial" w:hAnsi="Arial"/>
            <w:color w:val="1B2118"/>
            <w:sz w:val="22"/>
            <w:szCs w:val="22"/>
          </w:rPr>
          <w:t xml:space="preserve">21.  Reclami, ricorsi e richieste di chiarimento</w:t>
        </w:r>
        <w:r>
          <w:rPr>
            <w:rFonts w:ascii="Arial" w:cs="Arial" w:eastAsia="Arial" w:hAnsi="Arial"/>
            <w:color w:val="1B2118"/>
            <w:sz w:val="22"/>
            <w:szCs w:val="22"/>
          </w:rPr>
          <w:tab/>
          <w:t xml:space="preserve">52</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53</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54</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55</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58</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60</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62</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63</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ri8iczhj2mucnugkuramo">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2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Fatture scadute</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con una voce di pagamento scaduta e non pagata (numero in rosso; Guida 6.2.1 e 6.2.4: si saldano entro 30 giorni)</w:t>
            </w:r>
          </w:p>
        </w:tc>
      </w:tr>
      <w:tr>
        <w:trPr>
          <w:cantSplit/>
        </w:trPr>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Fatture in scadenza (≤ 7 gg)</w:t>
            </w:r>
          </w:p>
        </w:tc>
        <w:tc>
          <w:tcPr>
            <w:tcW w:type="dxa" w:w="62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con una voce di pagamento da saldare entro 7 giorni (numero in arancione)</w:t>
            </w:r>
          </w:p>
        </w:tc>
      </w:tr>
      <w:tr>
        <w:trPr>
          <w:cantSplit/>
        </w:trPr>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Dichiarazioni di cancellazione da ricevere</w:t>
            </w:r>
          </w:p>
        </w:tc>
        <w:tc>
          <w:tcPr>
            <w:tcW w:type="dxa" w:w="62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Vendite di crediti senza la Dichiarazione di cancellazione dei crediti venduti (Guida 6.3.3: entro 10 giorni dalla vendita); nella colonna «Da fare» quelle oltre i 10 giorni sono in rosso</w:t>
            </w:r>
          </w:p>
        </w:tc>
      </w:tr>
    </w:tbl>
    <w:p>
      <w:pPr>
        <w:spacing w:after="160"/>
      </w:pPr>
    </w:p>
    <w:p>
      <w:pPr>
        <w:spacing w:after="140" w:line="300"/>
      </w:pPr>
      <w:r>
        <w:rPr>
          <w:rFonts w:ascii="Arial" w:cs="Arial" w:eastAsia="Arial" w:hAnsi="Arial"/>
          <w:b/>
          <w:bCs/>
          <w:color w:val="1B2118"/>
          <w:sz w:val="21"/>
          <w:szCs w:val="21"/>
        </w:rPr>
        <w:t xml:space="preserve">Stato nel Programma ed ente (dal 30/10/2026).</w:t>
      </w:r>
      <w:r>
        <w:rPr>
          <w:rFonts w:ascii="Arial" w:cs="Arial" w:eastAsia="Arial" w:hAnsi="Arial"/>
          <w:color w:val="1B2118"/>
          <w:sz w:val="21"/>
          <w:szCs w:val="21"/>
        </w:rPr>
        <w:t xml:space="preserve"> Nella colonna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sotto lo stato interno (Attiva, Sospesa…), compare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con i nomi della Guida: </w:t>
      </w:r>
      <w:r>
        <w:rPr>
          <w:rFonts w:ascii="Arial" w:cs="Arial" w:eastAsia="Arial" w:hAnsi="Arial"/>
          <w:i/>
          <w:iCs/>
          <w:color w:val="1B2118"/>
          <w:sz w:val="21"/>
          <w:szCs w:val="21"/>
        </w:rPr>
        <w:t xml:space="preserve">richiesta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fase di verifica documentale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progetto registrato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progetto ritirato</w:t>
      </w:r>
      <w:r>
        <w:rPr>
          <w:rFonts w:ascii="Arial" w:cs="Arial" w:eastAsia="Arial" w:hAnsi="Arial"/>
          <w:color w:val="1B2118"/>
          <w:sz w:val="21"/>
          <w:szCs w:val="21"/>
        </w:rPr>
        <w:t xml:space="preserve">. Lo stesso stato compare nell'elenco della pagina Pratiche. Nella colonna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compare 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assegnato (o «non assegnato»).</w:t>
      </w: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lo assegna sempre il portale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perché l'ID univoco del progetto lo assegna il soggetto promotore del programma (Guida 6.2.1). Dal 30/10/2026 non si scrive più a mano; i codici già esistenti restano com'erano.</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sempre obbligatorio: i Progetti aperti prima del 23/10/2026 sono passati a Caso 1 il 25/10/2026, su indicazione di Luca Moretti, con la voce nell'Audit)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0"/>
        <w:gridCol w:w="2920"/>
        <w:gridCol w:w="3268"/>
      </w:tblGrid>
      <w:tr>
        <w:trPr>
          <w:tblHeader/>
        </w:trPr>
        <w:tc>
          <w:tcPr>
            <w:tcW w:type="dxa" w:w="34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2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4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2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4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2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4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2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4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Emissione dei crediti</w:t>
            </w:r>
          </w:p>
        </w:tc>
        <w:tc>
          <w:tcPr>
            <w:tcW w:type="dxa" w:w="29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2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r>
              <w:rPr>
                <w:rFonts w:ascii="Arial" w:cs="Arial" w:eastAsia="Arial" w:hAnsi="Arial"/>
                <w:color w:val="1B2118"/>
                <w:sz w:val="18"/>
                <w:szCs w:val="18"/>
              </w:rPr>
              <w:t xml:space="preserve">. Le verifiche documentali (fasi 2 e 6) hanno controlli in più: vedi sotto</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Verifiche documentali complete (dal 30/10/2026).</w:t>
      </w:r>
      <w:r>
        <w:rPr>
          <w:rFonts w:ascii="Arial" w:cs="Arial" w:eastAsia="Arial" w:hAnsi="Arial"/>
          <w:color w:val="1B2118"/>
          <w:sz w:val="21"/>
          <w:szCs w:val="21"/>
        </w:rPr>
        <w:t xml:space="preserve"> La Guida (6.2.4 e 6.5) fa avanzare la pratica solo con la documentazione completa. Per questo:</w:t>
      </w:r>
    </w:p>
    <w:p>
      <w:pPr>
        <w:pStyle w:val="ListParagraph"/>
        <w:numPr>
          <w:ilvl w:val="0"/>
          <w:numId w:val="2"/>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fase 2</w:t>
      </w:r>
      <w:r>
        <w:rPr>
          <w:rFonts w:ascii="Arial" w:cs="Arial" w:eastAsia="Arial" w:hAnsi="Arial"/>
          <w:color w:val="1B2118"/>
          <w:sz w:val="21"/>
          <w:szCs w:val="21"/>
        </w:rPr>
        <w:t xml:space="preserve"> (prima verifica documentale) si chiude solo se nella fase 1 c'è il </w:t>
      </w:r>
      <w:r>
        <w:rPr>
          <w:rFonts w:ascii="Arial" w:cs="Arial" w:eastAsia="Arial" w:hAnsi="Arial"/>
          <w:i/>
          <w:iCs/>
          <w:color w:val="1B2118"/>
          <w:sz w:val="21"/>
          <w:szCs w:val="21"/>
        </w:rPr>
        <w:t xml:space="preserve">Modulo di descrizione del progetto</w:t>
      </w:r>
      <w:r>
        <w:rPr>
          <w:rFonts w:ascii="Arial" w:cs="Arial" w:eastAsia="Arial" w:hAnsi="Arial"/>
          <w:color w:val="1B2118"/>
          <w:sz w:val="21"/>
          <w:szCs w:val="21"/>
        </w:rPr>
        <w:t xml:space="preserve"> e, per un Progetto, se è indicato il </w:t>
      </w: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(almeno un codice ISTAT, Standard 4.6);</w:t>
      </w:r>
    </w:p>
    <w:p>
      <w:pPr>
        <w:pStyle w:val="ListParagraph"/>
        <w:numPr>
          <w:ilvl w:val="0"/>
          <w:numId w:val="2"/>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fase 6</w:t>
      </w:r>
      <w:r>
        <w:rPr>
          <w:rFonts w:ascii="Arial" w:cs="Arial" w:eastAsia="Arial" w:hAnsi="Arial"/>
          <w:color w:val="1B2118"/>
          <w:sz w:val="21"/>
          <w:szCs w:val="21"/>
        </w:rPr>
        <w:t xml:space="preserve"> (seconda verifica documentale) si chiude solo se ci sono tutti i documenti </w:t>
      </w:r>
      <w:r>
        <w:rPr>
          <w:rFonts w:ascii="Arial" w:cs="Arial" w:eastAsia="Arial" w:hAnsi="Arial"/>
          <w:b/>
          <w:bCs/>
          <w:color w:val="1B2118"/>
          <w:sz w:val="21"/>
          <w:szCs w:val="21"/>
        </w:rPr>
        <w:t xml:space="preserve">obbligatori</w:t>
      </w:r>
      <w:r>
        <w:rPr>
          <w:rFonts w:ascii="Arial" w:cs="Arial" w:eastAsia="Arial" w:hAnsi="Arial"/>
          <w:color w:val="1B2118"/>
          <w:sz w:val="21"/>
          <w:szCs w:val="21"/>
        </w:rPr>
        <w:t xml:space="preserve"> delle fasi da 1 a 5 (modulo, documento di proprietà, contratto con l'ente, documento riassuntivo del feedback, rapporto di validazione o di verifica).</w:t>
      </w:r>
    </w:p>
    <w:p>
      <w:pPr>
        <w:spacing w:after="140" w:line="300"/>
      </w:pPr>
      <w:r>
        <w:rPr>
          <w:rFonts w:ascii="Arial" w:cs="Arial" w:eastAsia="Arial" w:hAnsi="Arial"/>
          <w:color w:val="1B2118"/>
          <w:sz w:val="21"/>
          <w:szCs w:val="21"/>
        </w:rPr>
        <w:t xml:space="preserve">Premendo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con un documento mancante compare l'elenco dei documenti che mancano. Un Operatore deve caricarli e chiudere di nuovo;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può chiudere con una </w:t>
      </w:r>
      <w:r>
        <w:rPr>
          <w:rFonts w:ascii="Arial" w:cs="Arial" w:eastAsia="Arial" w:hAnsi="Arial"/>
          <w:b/>
          <w:bCs/>
          <w:color w:val="1B2118"/>
          <w:sz w:val="21"/>
          <w:szCs w:val="21"/>
        </w:rPr>
        <w:t xml:space="preserve">deroga</w:t>
      </w:r>
      <w:r>
        <w:rPr>
          <w:rFonts w:ascii="Arial" w:cs="Arial" w:eastAsia="Arial" w:hAnsi="Arial"/>
          <w:color w:val="1B2118"/>
          <w:sz w:val="21"/>
          <w:szCs w:val="21"/>
        </w:rPr>
        <w:t xml:space="preserve">: scrive la motivazione (obbligatoria) e preme </w:t>
      </w:r>
      <w:r>
        <w:rPr>
          <w:rFonts w:ascii="Arial" w:cs="Arial" w:eastAsia="Arial" w:hAnsi="Arial"/>
          <w:b/>
          <w:bCs/>
          <w:color w:val="1B2118"/>
          <w:sz w:val="21"/>
          <w:szCs w:val="21"/>
        </w:rPr>
        <w:t xml:space="preserve">Chiudi con deroga</w:t>
      </w:r>
      <w:r>
        <w:rPr>
          <w:rFonts w:ascii="Arial" w:cs="Arial" w:eastAsia="Arial" w:hAnsi="Arial"/>
          <w:color w:val="1B2118"/>
          <w:sz w:val="21"/>
          <w:szCs w:val="21"/>
        </w:rPr>
        <w:t xml:space="preserve">. Nell'audit resta «Deroga dell'Amministratore: chiusa senza … Motivazione: …». I documenti obbligatori si scelgono in Impostazioni → Documenti richiesti per fase.</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pStyle w:val="ListParagraph"/>
        <w:numPr>
          <w:ilvl w:val="0"/>
          <w:numId w:val="2"/>
        </w:numPr>
        <w:spacing w:after="70" w:line="290"/>
      </w:pPr>
      <w:r>
        <w:rPr>
          <w:rFonts w:ascii="Arial" w:cs="Arial" w:eastAsia="Arial" w:hAnsi="Arial"/>
          <w:b/>
          <w:bCs/>
          <w:color w:val="1B2118"/>
          <w:sz w:val="21"/>
          <w:szCs w:val="21"/>
        </w:rPr>
        <w:t xml:space="preserve">Scarica CSV</w:t>
      </w:r>
      <w:r>
        <w:rPr>
          <w:rFonts w:ascii="Arial" w:cs="Arial" w:eastAsia="Arial" w:hAnsi="Arial"/>
          <w:color w:val="1B2118"/>
          <w:sz w:val="21"/>
          <w:szCs w:val="21"/>
        </w:rPr>
        <w:t xml:space="preserve"> (dal 30/10/2026) scarica gli eventi mostrati, con la ricerca applicata: data e ora, utente, ruolo, operazione, pratica, oggetto, stato prima e dopo, motivazione. Per la storia completa di una pratica c'è anche </w:t>
      </w:r>
      <w:r>
        <w:rPr>
          <w:rFonts w:ascii="Consolas" w:cs="Consolas" w:eastAsia="Consolas" w:hAnsi="Consolas"/>
          <w:color w:val="2F5D3A"/>
          <w:sz w:val="21"/>
          <w:szCs w:val="21"/>
        </w:rPr>
        <w:t xml:space="preserve">audit.csv</w:t>
      </w:r>
      <w:r>
        <w:rPr>
          <w:rFonts w:ascii="Arial" w:cs="Arial" w:eastAsia="Arial" w:hAnsi="Arial"/>
          <w:color w:val="1B2118"/>
          <w:sz w:val="21"/>
          <w:szCs w:val="21"/>
        </w:rPr>
        <w:t xml:space="preserve"> nel fascicolo («Esporta fascicolo»).</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Il portale controlla codice fiscale (11 cifre per enti e società, 16 caratteri per le persone) e partita IVA (11 cifre) con la cifra di controllo, e non salva un valore sbagliato. Il </w:t>
      </w:r>
      <w:r>
        <w:rPr>
          <w:rFonts w:ascii="Arial" w:cs="Arial" w:eastAsia="Arial" w:hAnsi="Arial"/>
          <w:b/>
          <w:bCs/>
          <w:color w:val="1B2118"/>
          <w:sz w:val="21"/>
          <w:szCs w:val="21"/>
        </w:rPr>
        <w:t xml:space="preserve">codice fiscale serve per le fatture</w:t>
      </w:r>
      <w:r>
        <w:rPr>
          <w:rFonts w:ascii="Arial" w:cs="Arial" w:eastAsia="Arial" w:hAnsi="Arial"/>
          <w:color w:val="1B2118"/>
          <w:sz w:val="21"/>
          <w:szCs w:val="21"/>
        </w:rPr>
        <w:t xml:space="preserve">: senza un codice fiscale valido non si registrano le voci di pagamento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(Guida 6.2.1); nell'elenco le organizzazioni senza codice fiscale valido sono segnalate in arancione.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(data di approvazione nel Programma: se il soggetto promotore cambia i requisiti, gli enti in elenco hanno 6 mesi per adeguarsi, Guida 3.4),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valore ipotetico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Valore ipotetico del credito</w:t>
      </w:r>
    </w:p>
    <w:p>
      <w:pPr>
        <w:spacing w:after="140" w:line="300"/>
      </w:pPr>
      <w:r>
        <w:rPr>
          <w:rFonts w:ascii="Arial" w:cs="Arial" w:eastAsia="Arial" w:hAnsi="Arial"/>
          <w:color w:val="1B2118"/>
          <w:sz w:val="21"/>
          <w:szCs w:val="21"/>
        </w:rPr>
        <w:t xml:space="preserve">Il Programma </w:t>
      </w:r>
      <w:r>
        <w:rPr>
          <w:rFonts w:ascii="Arial" w:cs="Arial" w:eastAsia="Arial" w:hAnsi="Arial"/>
          <w:b/>
          <w:bCs/>
          <w:color w:val="1B2118"/>
          <w:sz w:val="21"/>
          <w:szCs w:val="21"/>
        </w:rPr>
        <w:t xml:space="preserve">non stabilisce un prezzo del credito</w:t>
      </w:r>
      <w:r>
        <w:rPr>
          <w:rFonts w:ascii="Arial" w:cs="Arial" w:eastAsia="Arial" w:hAnsi="Arial"/>
          <w:color w:val="1B2118"/>
          <w:sz w:val="21"/>
          <w:szCs w:val="21"/>
        </w:rPr>
        <w:t xml:space="preserve">: questo è un valore ipotetico, da decidere con la Fondazione (per confronto, per il caso di Terre Roveresche si cita un valore di 7,50 €). Fino al 30/10/2026 si chiamava «prezzo di riferimento». È il valore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ipotesi del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79"/>
        <w:gridCol w:w="2254"/>
        <w:gridCol w:w="1784"/>
        <w:gridCol w:w="2521"/>
      </w:tblGrid>
      <w:tr>
        <w:trPr>
          <w:tblHeader/>
        </w:trPr>
        <w:tc>
          <w:tcPr>
            <w:tcW w:type="dxa" w:w="30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0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0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del progetto</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0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0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Registrazione del progetto</w:t>
            </w:r>
          </w:p>
        </w:tc>
        <w:tc>
          <w:tcPr>
            <w:tcW w:type="dxa" w:w="22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0"/>
        <w:gridCol w:w="3242"/>
        <w:gridCol w:w="2566"/>
      </w:tblGrid>
      <w:tr>
        <w:trPr>
          <w:tblHeader/>
        </w:trPr>
        <w:tc>
          <w:tcPr>
            <w:tcW w:type="dxa" w:w="38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5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8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8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8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8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Emissione dei crediti</w:t>
            </w:r>
          </w:p>
        </w:tc>
        <w:tc>
          <w:tcPr>
            <w:tcW w:type="dxa" w:w="32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 Modulo di delega di rappresentanza (</w:t>
            </w:r>
            <w:r>
              <w:rPr>
                <w:rFonts w:ascii="Arial" w:cs="Arial" w:eastAsia="Arial" w:hAnsi="Arial"/>
                <w:i/>
                <w:iCs/>
                <w:color w:val="1B2118"/>
                <w:sz w:val="18"/>
                <w:szCs w:val="18"/>
              </w:rPr>
              <w:t xml:space="preserve">se applicabile</w:t>
            </w:r>
            <w:r>
              <w:rPr>
                <w:rFonts w:ascii="Arial" w:cs="Arial" w:eastAsia="Arial" w:hAnsi="Arial"/>
                <w:color w:val="1B2118"/>
                <w:sz w:val="18"/>
                <w:szCs w:val="18"/>
              </w:rPr>
              <w:t xml:space="preserve">: solo con un rappresentante o più soggetti promotori, Guida 7.2)</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Dal 30/10/2026 ogni voce è </w:t>
      </w:r>
      <w:r>
        <w:rPr>
          <w:rFonts w:ascii="Arial" w:cs="Arial" w:eastAsia="Arial" w:hAnsi="Arial"/>
          <w:b/>
          <w:bCs/>
          <w:color w:val="1B2118"/>
          <w:sz w:val="21"/>
          <w:szCs w:val="21"/>
        </w:rPr>
        <w:t xml:space="preserve">Obbligatorio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Se applicabile</w:t>
      </w:r>
      <w:r>
        <w:rPr>
          <w:rFonts w:ascii="Arial" w:cs="Arial" w:eastAsia="Arial" w:hAnsi="Arial"/>
          <w:color w:val="1B2118"/>
          <w:sz w:val="21"/>
          <w:szCs w:val="21"/>
        </w:rPr>
        <w:t xml:space="preserve"> (si cambia con il pulsante accanto alla voce). I documenti obbligatori delle fasi precedenti </w:t>
      </w:r>
      <w:r>
        <w:rPr>
          <w:rFonts w:ascii="Arial" w:cs="Arial" w:eastAsia="Arial" w:hAnsi="Arial"/>
          <w:b/>
          <w:bCs/>
          <w:color w:val="1B2118"/>
          <w:sz w:val="21"/>
          <w:szCs w:val="21"/>
        </w:rPr>
        <w:t xml:space="preserve">bloccano la chiusura delle verifiche documentali</w:t>
      </w:r>
      <w:r>
        <w:rPr>
          <w:rFonts w:ascii="Arial" w:cs="Arial" w:eastAsia="Arial" w:hAnsi="Arial"/>
          <w:color w:val="1B2118"/>
          <w:sz w:val="21"/>
          <w:szCs w:val="21"/>
        </w:rPr>
        <w:t xml:space="preserve"> (fasi 2 e 6), salvo deroga motivata dell'Amministratore (capitolo «Gestire le fasi»); le voci «se applicabile» sono solo un promemoria.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(come la Banca Dati Utenze per utenza del passo 5a, che dal 30/10/2026 non ha più nomi e indirizzi):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948"/>
        <w:gridCol w:w="5992"/>
      </w:tblGrid>
      <w:tr>
        <w:trPr>
          <w:tblHeader/>
        </w:trPr>
        <w:tc>
          <w:tcPr>
            <w:tcW w:type="dxa" w:w="1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 (dal 30/10/2026).</w:t>
      </w:r>
      <w:r>
        <w:rPr>
          <w:rFonts w:ascii="Arial" w:cs="Arial" w:eastAsia="Arial" w:hAnsi="Arial"/>
          <w:color w:val="1B2118"/>
          <w:sz w:val="21"/>
          <w:szCs w:val="21"/>
        </w:rPr>
        <w:t xml:space="preserve"> Il modello </w:t>
      </w:r>
      <w:r>
        <w:rPr>
          <w:rFonts w:ascii="Arial" w:cs="Arial" w:eastAsia="Arial" w:hAnsi="Arial"/>
          <w:b/>
          <w:bCs/>
          <w:color w:val="1B2118"/>
          <w:sz w:val="21"/>
          <w:szCs w:val="21"/>
        </w:rPr>
        <w:t xml:space="preserve">non ha più nomi né indirizzi</w:t>
      </w:r>
      <w:r>
        <w:rPr>
          <w:rFonts w:ascii="Arial" w:cs="Arial" w:eastAsia="Arial" w:hAnsi="Arial"/>
          <w:color w:val="1B2118"/>
          <w:sz w:val="21"/>
          <w:szCs w:val="21"/>
        </w:rPr>
        <w:t xml:space="preserve">: ogni utenza è solo un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e la corrispondenza tra codice e intestatario resta al Comune (pseudonimizzazione, azione A1 della traccia DPIA; la Metodologia, cap. 6.1, chiede solo codice, categoria e kg). Se un file ha ancora le colonne «Nome capofamiglia», «Ragione sociale» o «Indirizzo», il portale le </w:t>
      </w:r>
      <w:r>
        <w:rPr>
          <w:rFonts w:ascii="Arial" w:cs="Arial" w:eastAsia="Arial" w:hAnsi="Arial"/>
          <w:b/>
          <w:bCs/>
          <w:color w:val="1B2118"/>
          <w:sz w:val="21"/>
          <w:szCs w:val="21"/>
        </w:rPr>
        <w:t xml:space="preserve">ignora</w:t>
      </w:r>
      <w:r>
        <w:rPr>
          <w:rFonts w:ascii="Arial" w:cs="Arial" w:eastAsia="Arial" w:hAnsi="Arial"/>
          <w:color w:val="1B2118"/>
          <w:sz w:val="21"/>
          <w:szCs w:val="21"/>
        </w:rPr>
        <w:t xml:space="preserve"> e lo dice negli avvisi dell'anteprima; nel modulo dell'utenza quei campi non ci sono più. Le utenze caricate prima restano come sono finché non si ricarica l'elenco. Nel portale le utenze le vedono solo Operatori e Amministratori. Ogni consultazione dell'elenco finisce nell'Audit («consultazione utenze»), così come ogni caricamento («caricamento utenze», con il solo numero di utenze) e ogni cancellazione. Prima dell'uso con dati reali servono la valutazione d'impatto (DPIA) e l'accordo sul trattamento con ogni Comune: la </w:t>
      </w:r>
      <w:r>
        <w:rPr>
          <w:rFonts w:ascii="Arial" w:cs="Arial" w:eastAsia="Arial" w:hAnsi="Arial"/>
          <w:b/>
          <w:bCs/>
          <w:color w:val="1B2118"/>
          <w:sz w:val="21"/>
          <w:szCs w:val="21"/>
        </w:rPr>
        <w:t xml:space="preserve">traccia della DPIA</w:t>
      </w:r>
      <w:r>
        <w:rPr>
          <w:rFonts w:ascii="Arial" w:cs="Arial" w:eastAsia="Arial" w:hAnsi="Arial"/>
          <w:color w:val="1B2118"/>
          <w:sz w:val="21"/>
          <w:szCs w:val="21"/>
        </w:rPr>
        <w:t xml:space="preserve"> è nella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Prova di Borgoval (26/10/2026).</w:t>
      </w:r>
      <w:r>
        <w:rPr>
          <w:rFonts w:ascii="Arial" w:cs="Arial" w:eastAsia="Arial" w:hAnsi="Arial"/>
          <w:color w:val="1B2118"/>
          <w:sz w:val="21"/>
          <w:szCs w:val="21"/>
        </w:rPr>
        <w:t xml:space="preserve"> Sul Progetto CWP-2026-0001 c'è il calcolo «PROVA Borgoval 2027 - utenze generate (ISPRA Casalmaggiore) - non confermare», con 9.000 utenze domestiche (UtD1…UtD9000) e 1.778 non domestiche (UtND1…UtND1778) inventate, kg e svuotamenti di secco e organico. Va insieme allo scenario del simulatore «ISPRA Casalmaggiore 2024 - differenziata all'87% (per utenza)» del Comune di Borgoval: dati ISPRA 2024 di Casalmaggiore riportati a 26.382 abitanti, differenziata fino all'87%, margine positivo ogni anno. Serve a vedere il portale con un Comune di dimensioni reali; non va confermato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monitoraggio</w:t>
      </w:r>
      <w:r>
        <w:rPr>
          <w:rFonts w:ascii="Arial" w:cs="Arial" w:eastAsia="Arial" w:hAnsi="Arial"/>
          <w:color w:val="1B2118"/>
          <w:sz w:val="21"/>
          <w:szCs w:val="21"/>
        </w:rPr>
        <w:t xml:space="preserve"> (prima si chiamava «Anno di riferimento»)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Dal 30/10/2026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si crea (e si conferma) solo per un </w:t>
      </w:r>
      <w:r>
        <w:rPr>
          <w:rFonts w:ascii="Arial" w:cs="Arial" w:eastAsia="Arial" w:hAnsi="Arial"/>
          <w:b/>
          <w:bCs/>
          <w:color w:val="1B2118"/>
          <w:sz w:val="21"/>
          <w:szCs w:val="21"/>
        </w:rPr>
        <w:t xml:space="preserve">anno già concluso</w:t>
      </w:r>
      <w:r>
        <w:rPr>
          <w:rFonts w:ascii="Arial" w:cs="Arial" w:eastAsia="Arial" w:hAnsi="Arial"/>
          <w:color w:val="1B2118"/>
          <w:sz w:val="21"/>
          <w:szCs w:val="21"/>
        </w:rPr>
        <w:t xml:space="preserve"> e per un </w:t>
      </w:r>
      <w:r>
        <w:rPr>
          <w:rFonts w:ascii="Arial" w:cs="Arial" w:eastAsia="Arial" w:hAnsi="Arial"/>
          <w:b/>
          <w:bCs/>
          <w:color w:val="1B2118"/>
          <w:sz w:val="21"/>
          <w:szCs w:val="21"/>
        </w:rPr>
        <w:t xml:space="preserve">Progetto registrato</w:t>
      </w:r>
      <w:r>
        <w:rPr>
          <w:rFonts w:ascii="Arial" w:cs="Arial" w:eastAsia="Arial" w:hAnsi="Arial"/>
          <w:color w:val="1B2118"/>
          <w:sz w:val="21"/>
          <w:szCs w:val="21"/>
        </w:rPr>
        <w:t xml:space="preserve"> (fase 6 completata) o un suo Rapporto: i crediti si calcolano dalla registrazione, che è la data di inizio del progetto (Standard 4.5). Per una previsione si usa l'ex ante. I calcoli di prova creati prima restano apribili ma non si possono confermare.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di monitoraggio,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cima al passo 2 (dal 30/10/2026) si indica da dove vengono i rifiuti, come chiede lo Standard 4.8.1: </w:t>
      </w:r>
      <w:r>
        <w:rPr>
          <w:rFonts w:ascii="Arial" w:cs="Arial" w:eastAsia="Arial" w:hAnsi="Arial"/>
          <w:b/>
          <w:bCs/>
          <w:color w:val="1B2118"/>
          <w:sz w:val="21"/>
          <w:szCs w:val="21"/>
        </w:rPr>
        <w:t xml:space="preserve">Fonte dei rifiuti</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Catasto ISPRA dell'anno di riferimento</w:t>
      </w:r>
      <w:r>
        <w:rPr>
          <w:rFonts w:ascii="Arial" w:cs="Arial" w:eastAsia="Arial" w:hAnsi="Arial"/>
          <w:color w:val="1B2118"/>
          <w:sz w:val="21"/>
          <w:szCs w:val="21"/>
        </w:rPr>
        <w:t xml:space="preserve"> con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(l'anno in cui il Comune ha raggiunto il 65% di differenziata), oppure </w:t>
      </w:r>
      <w:r>
        <w:rPr>
          <w:rFonts w:ascii="Arial" w:cs="Arial" w:eastAsia="Arial" w:hAnsi="Arial"/>
          <w:i/>
          <w:iCs/>
          <w:color w:val="1B2118"/>
          <w:sz w:val="21"/>
          <w:szCs w:val="21"/>
        </w:rPr>
        <w:t xml:space="preserve">Valori medi del cluster (Tabella 3)</w:t>
      </w:r>
      <w:r>
        <w:rPr>
          <w:rFonts w:ascii="Arial" w:cs="Arial" w:eastAsia="Arial" w:hAnsi="Arial"/>
          <w:color w:val="1B2118"/>
          <w:sz w:val="21"/>
          <w:szCs w:val="21"/>
        </w:rPr>
        <w:t xml:space="preserve"> con il </w:t>
      </w:r>
      <w:r>
        <w:rPr>
          <w:rFonts w:ascii="Arial" w:cs="Arial" w:eastAsia="Arial" w:hAnsi="Arial"/>
          <w:b/>
          <w:bCs/>
          <w:color w:val="1B2118"/>
          <w:sz w:val="21"/>
          <w:szCs w:val="21"/>
        </w:rPr>
        <w:t xml:space="preserve">cluster SOSE</w:t>
      </w:r>
      <w:r>
        <w:rPr>
          <w:rFonts w:ascii="Arial" w:cs="Arial" w:eastAsia="Arial" w:hAnsi="Arial"/>
          <w:color w:val="1B2118"/>
          <w:sz w:val="21"/>
          <w:szCs w:val="21"/>
        </w:rPr>
        <w:t xml:space="preserve">. Accanto il portale mostra la </w:t>
      </w:r>
      <w:r>
        <w:rPr>
          <w:rFonts w:ascii="Arial" w:cs="Arial" w:eastAsia="Arial" w:hAnsi="Arial"/>
          <w:b/>
          <w:bCs/>
          <w:color w:val="1B2118"/>
          <w:sz w:val="21"/>
          <w:szCs w:val="21"/>
        </w:rPr>
        <w:t xml:space="preserve">differenziata dei rifiuti inseriti</w:t>
      </w:r>
      <w:r>
        <w:rPr>
          <w:rFonts w:ascii="Arial" w:cs="Arial" w:eastAsia="Arial" w:hAnsi="Arial"/>
          <w:color w:val="1B2118"/>
          <w:sz w:val="21"/>
          <w:szCs w:val="21"/>
        </w:rPr>
        <w:t xml:space="preserve">: con la fonte ISPRA deve stare tra il 64% e il 66%, altrimenti il riquadro diventa rosso e tra gli avvisi del calcolo compare «l'anno di riferimento dello Standard 4.8.1 deve avere tra il 64% e il 66%». Anno e fonte compaiono nel rapporto PDF. Se l'anno di riferimento è diverso dall'anno monitorato, il controllo «i conferimenti delle utenze superano i rifiuti del territorio» avvisa solo oltre il +50% (con la raccolta che cresce, alcune frazioni aumentano rispetto all'anno di riferimento).</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b/>
          <w:bCs/>
          <w:color w:val="1B2118"/>
          <w:sz w:val="21"/>
          <w:szCs w:val="21"/>
        </w:rPr>
        <w:t xml:space="preserve">Risultati non aggiornati (dal 30/10/2026).</w:t>
      </w:r>
      <w:r>
        <w:rPr>
          <w:rFonts w:ascii="Arial" w:cs="Arial" w:eastAsia="Arial" w:hAnsi="Arial"/>
          <w:color w:val="1B2118"/>
          <w:sz w:val="21"/>
          <w:szCs w:val="21"/>
        </w:rPr>
        <w:t xml:space="preserve"> Se dopo l'ultimo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cambiate dati o impostazioni (per esempio le voci del buffer) senza ricalcolare, in cima al passo 7 compare un riquadro arancione «Risultati non aggiornati» con il pulsante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valori mostrati sono ancora quelli del calcolo precedente.</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la formula 32 con l'opzione del Capitolo 4.6 della Metodologia.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dichiarata, da sostituire con i dati reali della Banca Dati Utenze quando ci sono.</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Niente taratura (dal 30/10/2026).</w:t>
      </w:r>
      <w:r>
        <w:rPr>
          <w:rFonts w:ascii="Arial" w:cs="Arial" w:eastAsia="Arial" w:hAnsi="Arial"/>
          <w:color w:val="1B2118"/>
          <w:sz w:val="21"/>
          <w:szCs w:val="21"/>
        </w:rPr>
        <w:t xml:space="preserve"> La funzione «Trova la variabilità», che partiva dai crediti per abitante voluti, è stata tolta: la stima parte solo dai dati del Comune e dalle ipotesi dichiarate (rilievo T11). Sono stati tolti anche i riferimenti a documenti esterni al Programma (Allegato A dei contratti EsaCom).</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è un </w:t>
      </w:r>
      <w:r>
        <w:rPr>
          <w:rFonts w:ascii="Arial" w:cs="Arial" w:eastAsia="Arial" w:hAnsi="Arial"/>
          <w:b/>
          <w:bCs/>
          <w:color w:val="1B2118"/>
          <w:sz w:val="21"/>
          <w:szCs w:val="21"/>
        </w:rPr>
        <w:t xml:space="preserve">errore</w:t>
      </w:r>
      <w:r>
        <w:rPr>
          <w:rFonts w:ascii="Arial" w:cs="Arial" w:eastAsia="Arial" w:hAnsi="Arial"/>
          <w:color w:val="1B2118"/>
          <w:sz w:val="21"/>
          <w:szCs w:val="21"/>
        </w:rPr>
        <w:t xml:space="preserve">: il simulatore non calcola e chiede un altro anno o il cluster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Il riferimento si usa così com'è</w:t>
      </w:r>
      <w:r>
        <w:rPr>
          <w:rFonts w:ascii="Arial" w:cs="Arial" w:eastAsia="Arial" w:hAnsi="Arial"/>
          <w:color w:val="1B2118"/>
          <w:sz w:val="21"/>
          <w:szCs w:val="21"/>
        </w:rPr>
        <w:t xml:space="preserve"> (Standard 4.8.1, dal 30/10/2026): l'anno con il 64-66% di differenziata con le sue quantità, oppure i valori medi del cluster senza ricalcoli, riportati alla popolazione di ogni anno. Fino al 29/10 il simulatore riportava sempre il riferimento al 65% (stessa produzione, secco al 35%): era una scelta del portale, non dello Standard, e dava crediti più alti per i cluster con differenziata sopra il 65% e più bassi per quelli sotto. Gli scenari salvati prima si ricalcolano con la nuova regola quando si riaprono; quelli con un anno di riferimento fuori dal 64-66% mostrano l'errore e vanno corretti. La tabella dei risultati mostra ancora di quanti punti la differenziata supera l'obiettivo di legge del 65%. Un avviso compare se la produzione pro capite è fuori scala (unità di misura sbagliata). Unica eccezione: la micro simulazione della pagina pubblica «Approfondisci» del Marketing resta com'era.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l'obiettivo di legge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Programma </w:t>
      </w:r>
      <w:r>
        <w:rPr>
          <w:rFonts w:ascii="Arial" w:cs="Arial" w:eastAsia="Arial" w:hAnsi="Arial"/>
          <w:b/>
          <w:bCs/>
          <w:color w:val="1B2118"/>
          <w:sz w:val="21"/>
          <w:szCs w:val="21"/>
        </w:rPr>
        <w:t xml:space="preserve">non stabilisce un prezzo del credito</w:t>
      </w:r>
      <w:r>
        <w:rPr>
          <w:rFonts w:ascii="Arial" w:cs="Arial" w:eastAsia="Arial" w:hAnsi="Arial"/>
          <w:color w:val="1B2118"/>
          <w:sz w:val="21"/>
          <w:szCs w:val="21"/>
        </w:rPr>
        <w:t xml:space="preserve">: il portale parte da un </w:t>
      </w:r>
      <w:r>
        <w:rPr>
          <w:rFonts w:ascii="Arial" w:cs="Arial" w:eastAsia="Arial" w:hAnsi="Arial"/>
          <w:b/>
          <w:bCs/>
          <w:color w:val="1B2118"/>
          <w:sz w:val="21"/>
          <w:szCs w:val="21"/>
        </w:rPr>
        <w:t xml:space="preserve">valore ipotetico di 32 €</w:t>
      </w:r>
      <w:r>
        <w:rPr>
          <w:rFonts w:ascii="Arial" w:cs="Arial" w:eastAsia="Arial" w:hAnsi="Arial"/>
          <w:color w:val="1B2118"/>
          <w:sz w:val="21"/>
          <w:szCs w:val="21"/>
        </w:rPr>
        <w:t xml:space="preserve">, da confermare con la Fondazione (con minimo e massimo si vede la forbice, per esempio da 7,50 €, il valore citato per il caso di Terre Roveresche). Per compilare tutti gli anni insieme indicate il valore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delle tabelle dei costi del 28/07/2026. Il metodo «bilancio del Comune» lavora sui totali del Comune; il metodo «per utenza» conta solo le utenze virtuose, come il calcolo ex post con l'opzione delle sole utenze virtuose.</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ricorsi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reclami, ricorsi 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che prevede «procedure di reclamo e ricorso».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RIC-AAAA-NNN</w:t>
      </w:r>
      <w:r>
        <w:rPr>
          <w:rFonts w:ascii="Arial" w:cs="Arial" w:eastAsia="Arial" w:hAnsi="Arial"/>
          <w:color w:val="1B2118"/>
          <w:sz w:val="21"/>
          <w:szCs w:val="21"/>
        </w:rPr>
        <w:t xml:space="preserve"> per i ricorsi (dal 30/10/2026),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 Il ricorso si gestisce come il reclamo; se il suo iter deve essere diverso lo deciderà la Fondazione.</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Ricorso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 con la data </w:t>
      </w:r>
      <w:r>
        <w:rPr>
          <w:rFonts w:ascii="Arial" w:cs="Arial" w:eastAsia="Arial" w:hAnsi="Arial"/>
          <w:b/>
          <w:bCs/>
          <w:color w:val="1B2118"/>
          <w:sz w:val="21"/>
          <w:szCs w:val="21"/>
        </w:rPr>
        <w:t xml:space="preserve">Costi comunicati il</w:t>
      </w:r>
      <w:r>
        <w:rPr>
          <w:rFonts w:ascii="Arial" w:cs="Arial" w:eastAsia="Arial" w:hAnsi="Arial"/>
          <w:color w:val="1B2118"/>
          <w:sz w:val="21"/>
          <w:szCs w:val="21"/>
        </w:rPr>
        <w:t xml:space="preserve"> (la Politica chiede di comunicarli al momento della richiesta). Se il reclamo o il ricorso porta ad annullare un'azione, spuntate </w:t>
      </w:r>
      <w:r>
        <w:rPr>
          <w:rFonts w:ascii="Arial" w:cs="Arial" w:eastAsia="Arial" w:hAnsi="Arial"/>
          <w:b/>
          <w:bCs/>
          <w:color w:val="1B2118"/>
          <w:sz w:val="21"/>
          <w:szCs w:val="21"/>
        </w:rPr>
        <w:t xml:space="preserve">Costi non dovuti</w:t>
      </w:r>
      <w:r>
        <w:rPr>
          <w:rFonts w:ascii="Arial" w:cs="Arial" w:eastAsia="Arial" w:hAnsi="Arial"/>
          <w:color w:val="1B2118"/>
          <w:sz w:val="21"/>
          <w:szCs w:val="21"/>
        </w:rPr>
        <w:t xml:space="preserve">: il costo diventa 0 (Politica di reclamo, cap. 1).</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2010"/>
        <w:gridCol w:w="5190"/>
      </w:tblGrid>
      <w:tr>
        <w:trPr>
          <w:tblHeader/>
        </w:trPr>
        <w:tc>
          <w:tcPr>
            <w:tcW w:type="dxa" w:w="24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1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DPIA – Banca Dati Utenze (traccia)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sulla protezione dei dati (art. 35 GDPR) per le utenze: si scarica in Word e si manda al Comune, che la completa con il suo DPO prima di caricare utenze reali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spacing w:after="140" w:line="300"/>
      </w:pPr>
      <w:r>
        <w:rPr>
          <w:rFonts w:ascii="Arial" w:cs="Arial" w:eastAsia="Arial" w:hAnsi="Arial"/>
          <w:color w:val="1B2118"/>
          <w:sz w:val="21"/>
          <w:szCs w:val="21"/>
        </w:rPr>
        <w:t xml:space="preserve">Alcuni siti (circa uno su otto tra i Comuni) chiedono ai programmi automatici di non essere letti: il portale rispetta la richiesta e li segna tra gli errori («Il sito chiede di non essere letto…»). Per questi enti i dati si completano a mano dalla scheda. Gli enti con il sito che non ha risposto si possono rimettere in coda con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6.9 · 30/10/2026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6.9 · 30/10/2026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i8iczhj2mucnugkuramo"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6.9)</dc:title>
  <dc:creator>Fondazione Operate</dc:creator>
  <cp:lastModifiedBy>Un-named</cp:lastModifiedBy>
  <cp:revision>1</cp:revision>
  <dcterms:created xsi:type="dcterms:W3CDTF">2026-10-30T14:58:56.076Z</dcterms:created>
  <dcterms:modified xsi:type="dcterms:W3CDTF">2026-10-30T14:58:56.076Z</dcterms:modified>
</cp:coreProperties>
</file>

<file path=docProps/custom.xml><?xml version="1.0" encoding="utf-8"?>
<Properties xmlns="http://schemas.openxmlformats.org/officeDocument/2006/custom-properties" xmlns:vt="http://schemas.openxmlformats.org/officeDocument/2006/docPropsVTypes"/>
</file>