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3.29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30/10/2026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delle fasi e prove 11.1-11.16 dei rilievi TEST_PORTALE_CWP.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del 26/10.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10.10u: listino obbligatorio.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10.16k-m: lettura dei siti.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6.2b (Rapporto su Progetto non registrato) e 10.16j (elenco dei Comuni senza filtri).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10.16-10.16i: sezione Marketing, campagne, pagina Approfondisci, richiesta di registrazione, disiscrizione.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10.10t: colori dello stato delle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10.10q-10.10s: listino del Progetto e valore dei progetti.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10.10m-10.10p: valore dei crediti in Dashboard e per i Comuni, prezzo di riferimento.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7.26-7.26f: utenze del passo 5a nel calcolo, esclusioni, conferma, riquadro del 5b, calcoli solo tracciato, CSV.</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7.25-7.25e (Banca Dati 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10.10g-10.10l (navigazione da 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3.29 del 30/10/2026,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x2ggycjgkfvu19ode_q6s">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9"/>
        <w:gridCol w:w="1260"/>
        <w:gridCol w:w="1260"/>
        <w:gridCol w:w="1760"/>
        <w:gridCol w:w="2889"/>
      </w:tblGrid>
      <w:tr>
        <w:trPr>
          <w:tblHeader/>
        </w:trPr>
        <w:tc>
          <w:tcPr>
            <w:tcW w:type="dxa" w:w="24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28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4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28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4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28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4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28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4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28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4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del progetto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28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4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28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4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Registrazione del progetto (Rapporto: Emissione dei crediti)</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28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Aprite un Progetto attivo con la fase 6 non ancora completata e guardate la sezione Rapporti di Monitoraggio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 pulsante + Rapporto; la riga «I Rapporti di Monitoraggio si creano dopo la registrazione del Progetto (fase 6 … completata)»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Banca Dati Utenze. In un calcolo in bozza aprite </w:t>
            </w:r>
            <w:r>
              <w:rPr>
                <w:rFonts w:ascii="Arial" w:cs="Arial" w:eastAsia="Arial" w:hAnsi="Arial"/>
                <w:b/>
                <w:bCs/>
                <w:color w:val="1B2118"/>
                <w:sz w:val="18"/>
                <w:szCs w:val="18"/>
              </w:rPr>
              <w:t xml:space="preserve">5a. Utenze del calcolo</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Scarica il modello Excel</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Carica il file dell'anno</w:t>
            </w:r>
            <w:r>
              <w:rPr>
                <w:rFonts w:ascii="Arial" w:cs="Arial" w:eastAsia="Arial" w:hAnsi="Arial"/>
                <w:color w:val="1B2118"/>
                <w:sz w:val="18"/>
                <w:szCs w:val="18"/>
              </w:rPr>
              <w:t xml:space="preserve"> con il file di prova </w:t>
            </w:r>
            <w:r>
              <w:rPr>
                <w:rFonts w:ascii="Consolas" w:cs="Consolas" w:eastAsia="Consolas" w:hAnsi="Consolas"/>
                <w:color w:val="2F5D3A"/>
                <w:sz w:val="18"/>
                <w:szCs w:val="18"/>
              </w:rPr>
              <w:t xml:space="preserve">Banca_dati_utenze_prova_40.xlsx</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Sostituisci l'elenco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20 domestiche e 20 non domestiche, avvisi per PROVA-UD-005 (totale diverso dalla somma) e per 4 utenze senza categoria; dopo il caricamento i riquadri dicono 20, 20 e 4; in Audit «caricamento utenze» con i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Caricate un file con una riga senza indifferenziato e una con un codice ripetuto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caricato»: per ogni errore foglio, riga e codice; l'elenco precedente non cambia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PROVA-UD-008 (categoria «da assegnare»), scrivete 2 nella categoria tariffaria, poi cambiate la categoria di simulazione in 3 e salvate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simulazione segue la tariffaria (2) finché non la cambiate; dopo il salvataggio la riga mostra 2 e 3 «(cambiata)», i riquadri una utenza senza categoria in meno; in Audit «modifica utenza» con i campi cambiati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Nuova utenza non domestica: lasciate vuoti ragione sociale e indifferenziato, poi compilateli, usate «= somma delle frazioni» e salvate; poi riaprite e </w:t>
            </w:r>
            <w:r>
              <w:rPr>
                <w:rFonts w:ascii="Arial" w:cs="Arial" w:eastAsia="Arial" w:hAnsi="Arial"/>
                <w:b/>
                <w:bCs/>
                <w:color w:val="1B2118"/>
                <w:sz w:val="18"/>
                <w:szCs w:val="18"/>
              </w:rPr>
              <w:t xml:space="preserve">Elimina utenza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errori in rosso e Salva disattivato; poi salvataggio riuscito; eliminazione con voce di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7.25e</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provate ad aprire /crediti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non disponibile: la Banca Dati Utenze si gestisce solo come 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Utenze nel calcolo. Nel calcolo di prova (40 utenze, delibera con le classi 1-6 e le categorie delle non domestiche) premete </w:t>
            </w:r>
            <w:r>
              <w:rPr>
                <w:rFonts w:ascii="Arial" w:cs="Arial" w:eastAsia="Arial" w:hAnsi="Arial"/>
                <w:b/>
                <w:bCs/>
                <w:color w:val="1B2118"/>
                <w:sz w:val="18"/>
                <w:szCs w:val="18"/>
              </w:rPr>
              <w:t xml:space="preserve">Calcola</w:t>
            </w:r>
            <w:r>
              <w:rPr>
                <w:rFonts w:ascii="Arial" w:cs="Arial" w:eastAsia="Arial" w:hAnsi="Arial"/>
                <w:color w:val="1B2118"/>
                <w:sz w:val="18"/>
                <w:szCs w:val="18"/>
              </w:rPr>
              <w:t xml:space="preserve"> con alcune utenze ancora «da assegnare»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Risultati: riga «Banca Dati Utenze: utenze del passo 5a…» con il numero di utenze </w:t>
            </w:r>
            <w:r>
              <w:rPr>
                <w:rFonts w:ascii="Arial" w:cs="Arial" w:eastAsia="Arial" w:hAnsi="Arial"/>
                <w:b/>
                <w:bCs/>
                <w:color w:val="1B2118"/>
                <w:sz w:val="18"/>
                <w:szCs w:val="18"/>
              </w:rPr>
              <w:t xml:space="preserve">escluse</w:t>
            </w:r>
            <w:r>
              <w:rPr>
                <w:rFonts w:ascii="Arial" w:cs="Arial" w:eastAsia="Arial" w:hAnsi="Arial"/>
                <w:color w:val="1B2118"/>
                <w:sz w:val="18"/>
                <w:szCs w:val="18"/>
              </w:rPr>
              <w:t xml:space="preserve"> in rosso; tra gli avvisi «N utenze senza categoria di simulazione: escluse dal calcolo»; nei Controlli di coerenza un errore con i codici; </w:t>
            </w:r>
            <w:r>
              <w:rPr>
                <w:rFonts w:ascii="Arial" w:cs="Arial" w:eastAsia="Arial" w:hAnsi="Arial"/>
                <w:b/>
                <w:bCs/>
                <w:color w:val="1B2118"/>
                <w:sz w:val="18"/>
                <w:szCs w:val="18"/>
              </w:rPr>
              <w:t xml:space="preserve">Conferma calcolo</w:t>
            </w:r>
            <w:r>
              <w:rPr>
                <w:rFonts w:ascii="Arial" w:cs="Arial" w:eastAsia="Arial" w:hAnsi="Arial"/>
                <w:color w:val="1B2118"/>
                <w:sz w:val="18"/>
                <w:szCs w:val="18"/>
              </w:rPr>
              <w:t xml:space="preserve"> non disponibile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Assegnate la categoria alle utenze «da assegnare» (passo 5a) e a quelle con una categoria assente dalla delibera, poi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utenza esclusa, nessun errore di coerenza sulle categorie; il numero di utenze nei riquadri dei Risultati è uguale a quello del passo 5a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«Calcola» modificate un'utenza (es. kg di indifferenziato)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risultato salvato si azzera; «Conferma calcolo» sparisce finché non si preme di nuovo «Calcola»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In un calcolo con utenze nel 5a aprite </w:t>
            </w:r>
            <w:r>
              <w:rPr>
                <w:rFonts w:ascii="Arial" w:cs="Arial" w:eastAsia="Arial" w:hAnsi="Arial"/>
                <w:b/>
                <w:bCs/>
                <w:color w:val="1B2118"/>
                <w:sz w:val="18"/>
                <w:szCs w:val="18"/>
              </w:rPr>
              <w:t xml:space="preserve">5b. Conferimenti (tracciato)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«Questo calcolo usa le N utenze del passo 5a…»; se ci sono anche conferimenti, tra gli avvisi dei Risultati «… righe di conferimento del passo 5b non sono usate»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Un calcolo esistente senza utenze nel 5a (solo tracciato):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Stessi numeri di prima; riga «Banca Dati Utenze: conferimenti del tracciato (passo 5b)»</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7.26f</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Scarica il riepilogo (CSV)</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Scarica il dettaglio per utenza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riepilogo ha le voci «Banca Dati Utenze» e «Utenze escluse»; il dettaglio ha i codici delle utenze, nessun nome né indirizzo</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«Lo Standard 4.8.1 chiede un anno con differenziata tra 64% e 66%» e avviso nei Risultati; tornando al cluster l'avviso sparisce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Taratura: scrivete 0,19 e premete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variabilità cambia e il riquadro «Per abitante all'anno» mostra circa 0,190 (oppure il messaggio «Valore non raggiungibile» se con questi dati non si può)</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(o con il browser stretto sotto 760 px) aprite la Dashboard e premete </w:t>
            </w:r>
            <w:r>
              <w:rPr>
                <w:rFonts w:ascii="Arial" w:cs="Arial" w:eastAsia="Arial" w:hAnsi="Arial"/>
                <w:b/>
                <w:bCs/>
                <w:color w:val="1B2118"/>
                <w:sz w:val="18"/>
                <w:szCs w:val="18"/>
              </w:rPr>
              <w:t xml:space="preserve">☰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bassa con loghi, campanella e Menu; il pannello mostra tutte le voci grandi, il profilo con il segno Admin ed Esci; scegliendo una voce il pannello si chiude e la pagina cambia; nessuna pagina scorre di 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Dashboard e Audit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pratica (e ogni evento) è una scheda con le etichette delle colonne; «Ordina per» sopra le schede funziona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Dal telefono: Pratiche (o Le mie pratiche con più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l'elenco; toccando una pratica il dettaglio con «← Tutte le pratiche» in alto, che riporta all'elenco; con una sola pratica il Comune vede subito il dettaglio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telefono (iPhone) toccate un campo di ricerca o di testo; aprite l'assistente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pagina non si ingrandisce; l'assistente occupa tutto lo schermo e si chiude con ✕</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10.10m</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riquadri </w:t>
            </w:r>
            <w:r>
              <w:rPr>
                <w:rFonts w:ascii="Arial" w:cs="Arial" w:eastAsia="Arial" w:hAnsi="Arial"/>
                <w:b/>
                <w:bCs/>
                <w:color w:val="1B2118"/>
                <w:sz w:val="18"/>
                <w:szCs w:val="18"/>
              </w:rPr>
              <w:t xml:space="preserve">Crediti in simulazione</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Crediti in fase esecutiva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ed euro di tutto il portale; nella simulazione un solo scenario per Comune (l'ultimo aggiornato); in fase esecutiva le righe Calcolati, Emessi e Venduti con il prezzo di riferimento indicato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10.10n</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aprite uno scenario salvato prima del 23/10, premete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tornate alla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di scenari «valorizzati a 32 €/credito» scende di uno; gli euro dello scenario sono i suoi ricavi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Prezzo di riferimento del credito: 40 → Salva; poi rimettete il valore di prima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Dashboard valorizza calcolati ed emessi al nuovo prezzo; due voci «modifica prezzo di riferimento del credito» in Audit; un prezzo negativo è rifiutato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10.10p</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Come utente del Comune aprite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due riquadri «Valore dei crediti della tua organizzazione» con i soli dati del vostro Comune (nessun dato di altri Comuni)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10.10q</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senza scegliere il listino; poi scegliete Caso 2 con popolazione 16735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listino: «Scegli il listino…»; con Caso 2 compare «Valore del progetto: … in 10 anni (… all'anno)»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10.10r</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Progetto aperto prima del 23/10: «Listino: da indicare»; Modifica i dati → Caso 1, popolazione 16735 → Salva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«Valore del progetto per il cliente: 162.329,50 € in 10 anni (16.232,95 € all'anno)»; in Audit «modifica pratica»; nella Dashboard il riquadro «Valore dei progetti» lo conta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Dati di un Progetto → Modifica i dati: aprite il menu Listino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Caso 1 e Caso 2, nessuna voce «da indicare»; i Progetti esistenti risultano Caso 1 (voce nell'Audit con la motivazione del 25/10)</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10.10s</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scenario con Caso 1 → Salva; poi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riga «In simulazione» del riquadro «Valore dei progetti» entra quanto paga il cliente nel periodo simulato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10.10t</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una pratica con fasi completate, una in corso e altre non iniziate (anche dal telefono); guardate anche la colonna Fase corrente della Dashboard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Scritta dello stato verde per Completata, arancio per In corso (e In attesa di integrazione), rossa per Non iniziata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menu; [O] e [C] scrivete /marketing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schede Comuni, Gestori, Campagne, Richieste, Importazioni; Operatore e Comune: «Questa sezione è riservata agli amministratori» e nessuna voce nel menu</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10.16j</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Marketing → Comuni senza nessun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L'elenco si carica: «7.904 Comuni», 50 per pagina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10.16k</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Importazioni → Lettura dei siti: guardate la tabella, poi </w:t>
            </w:r>
            <w:r>
              <w:rPr>
                <w:rFonts w:ascii="Arial" w:cs="Arial" w:eastAsia="Arial" w:hAnsi="Arial"/>
                <w:b/>
                <w:bCs/>
                <w:color w:val="1B2118"/>
                <w:sz w:val="18"/>
                <w:szCs w:val="18"/>
              </w:rPr>
              <w:t xml:space="preserve">Leggi ora 1 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con in coda, in lettura, letti ed errori per Comuni e gestori; dopo qualche secondo il riquadro con pagine lette, email, PEC, telefono e referenti trovati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10.16l</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un Comune letto (es. Comune di Lecco) in Marketing → Comuni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generica e PEC compilate; referenti «tributi» e «ambiente» con email dell'ufficio e fonte = pagina del sito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10.16m</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Ferma</w:t>
            </w:r>
            <w:r>
              <w:rPr>
                <w:rFonts w:ascii="Arial" w:cs="Arial" w:eastAsia="Arial" w:hAnsi="Arial"/>
                <w:color w:val="1B2118"/>
                <w:sz w:val="18"/>
                <w:szCs w:val="18"/>
              </w:rPr>
              <w:t xml:space="preserve">, attendete un minuto, poi </w:t>
            </w:r>
            <w:r>
              <w:rPr>
                <w:rFonts w:ascii="Arial" w:cs="Arial" w:eastAsia="Arial" w:hAnsi="Arial"/>
                <w:b/>
                <w:bCs/>
                <w:color w:val="1B2118"/>
                <w:sz w:val="18"/>
                <w:szCs w:val="18"/>
              </w:rPr>
              <w:t xml:space="preserve">Avvia la lettura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la lettura ferma i numeri non cambiano; riavviata, i «letti» riprendono a crescere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Importazioni → Aggiorna i Comuni; poi scheda Comuni, filtro Regione = Veneto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diario ISTAT, IndicePA e uffici; i Comuni del Veneto con abitanti, email generica e PEC in colonne separate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un Comune, aggiungete un referente «Tributi» con fonte, salvate; provate a scrivere una PEC nel campo «email generica»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Referente salvato; la PEC nel campo email è rifiutata con un messaggio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Campagne → + Nuova campagna, testo di due paragrafi, grafica «Territorio» → Salva → Invia una prova a me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con grafica, testo, riquadro 7/10/21 anni e pulsante «Approfondisci»; l'email di prova arriva con gli stessi contenuti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Destinatari: Comuni del Molise sotto 5.000 abitanti → Cerca → Aggiungi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enti con email generica; il riepilogo indica quanti sono stati saltati (senza email o disiscritti)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il pulsante «Approfondisci» dell'email di prova (anche dal telefono); inserite 16735 abitanti, 8000 t totali, 2400 t di secco, 10 anni, Caso 1 → Calcola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del Comune in alto; margine 491.910 €, ricavi 654.240 €, costi 162.330 €, 20.445 crediti; grafico e tabella anno per anno; nessuno scorrimento orizzontale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stessa pagina scrivete «8.000» come rifiuti totali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produzione risulta di … kg per abitante…»: controllare le unità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Scaricate il fascicolo; compilate la richiesta di registrazione con il consenso → Invia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di 6 pagine; «Richiesta inviata»; tutti gli Amministratori ricevono notifica ed email; la richiesta compare in Marketing → Richieste con la simulazione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collegamento «Non desidero ricevere altre comunicazioni» → Conferma; poi riaggiungete lo stesso ente a una nuova campagna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l'ente è saltato perché disiscritto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2"/>
        <w:keepNext/>
        <w:spacing w:after="120" w:before="240"/>
      </w:pPr>
      <w:r>
        <w:rPr>
          <w:rFonts w:ascii="Arial" w:cs="Arial" w:eastAsia="Arial" w:hAnsi="Arial"/>
          <w:b/>
          <w:bCs/>
          <w:color w:val="2F5D3A"/>
          <w:sz w:val="25"/>
          <w:szCs w:val="25"/>
        </w:rPr>
        <w:t xml:space="preserve">11. Rilievi TEST_PORTALE_CWP (dal 30/10/2026)</w:t>
      </w:r>
    </w:p>
    <w:p>
      <w:pPr>
        <w:spacing w:after="140" w:line="300"/>
      </w:pPr>
      <w:r>
        <w:rPr>
          <w:rFonts w:ascii="Arial" w:cs="Arial" w:eastAsia="Arial" w:hAnsi="Arial"/>
          <w:color w:val="1B2118"/>
          <w:sz w:val="21"/>
          <w:szCs w:val="21"/>
        </w:rPr>
        <w:t xml:space="preserve">Prove per ritestare i rilievi del documento TEST_PORTALE_CWP del 29/10/2026. Il Marketing (rilievi T30 e T31) è rimasto invariato per scelta di Luca.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1135"/>
        <w:gridCol w:w="3809"/>
        <w:gridCol w:w="3809"/>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1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Rilievo</w:t>
            </w:r>
          </w:p>
        </w:tc>
        <w:tc>
          <w:tcPr>
            <w:tcW w:type="dxa" w:w="3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3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T01, T02</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un Progetto e un Rapporto</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del Progetto «Validazione del progetto»; fase 7 «Registrazione del progetto» (Rapporto: «Emissione dei crediti»)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T03, T05</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lo stato interno lo stato nel Programma (es. «in fase di validazione»); ente sotto l'organizzazione; riquadri «Fatture scadute», «Fatture in scadenza (≤ 7 gg)», «Dichiarazioni di cancellazione da ricevere»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T07</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Anagrafiche → Enti di Validazione → Modifica</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«Approvato il (Guida 3.4)»; la data compare nell'elenco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11.4</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T08</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Anagrafiche → organizzazione con codice fiscale 123456789 → Salva</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«Codice fiscale non valido»; con un codice valido si salva. Su una pratica di un'organizzazione senza codice fiscale valido, «Proponi dallo Schema tariffario» rifiuta le voci di iscrizione e registrazione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T12</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Progetto di prova con la fase 2 aperta e senza il Modulo di descrizione nella fase 1 → Chiudi fase</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mancanti; l'Operatore non può chiudere. [A] Lo stesso con motivazione → «Chiudi con deroga»: fase completata, audit «Deroga dell'Amministratore…»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11.6</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T15</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Progetto senza codici ISTAT, fase 2 aperta → Chiudi fase</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«Indica il territorio del Progetto…»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T14</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 campo codice; il Progetto riceve il codice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11.8</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T17, T18</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Reclami → + Registra con Tipo «Ricorso» e costi; poi Gestisci → «Costi non dovuti»</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RIC-AAAA-NNN; con la casella spuntata i costi diventano 0; «Costi comunicati il» salvato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T19, T23</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passo 2</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Campi «Fonte dei rifiuti» e «Anno di riferimento»; differenziata dei rifiuti in rosso se fuori dal 64-66%; nel passo 1 «Anno di monitoraggio»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11.10</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T20</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calcolo ex post per l'anno in corso, o per un Progetto non registrato</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rifiuta con il messaggio dello Standard 4.5; l'ex ante si crea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11.11</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T22</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In un calcolo con un risultato cambiate una voce del buffer senza Calcola, poi aprite il passo 7</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«Risultati non aggiornati» con il pulsante Calcola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11.12</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T10, T11</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 scenario con anno di riferimento al 70%</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«lo Standard (4.8.1) chiede l'anno… tra 64% e 66%»; con il cluster nessun ricalcolo al 65%; nessun pulsante di taratura né riferimenti EsaCom</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11.13</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T04</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e Dashboard</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ipotetico del credito», con la nota che il Programma non stabilisce un prezzo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11.14</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T25</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1 del Progetto: «Modulo di delega di rappresentanza» come «Se applicabile»; ogni voce si alterna tra Obbligatorio e Se applicabile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11.15</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T28</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 Scarica CSV</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CSV con gli eventi mostrati (anche filtrati)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11.16</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T29</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 5a → Carica il file dell'anno con il vecchio modello (con nomi e indirizzi)</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«colonne … ignorate»; nell'elenco e nel modulo dell'utenza non ci sono nome e indirizzo; il nuovo modello Excel non ha quelle colonne</w:t>
            </w:r>
          </w:p>
        </w:tc>
      </w:tr>
    </w:tbl>
    <w:p>
      <w:pPr>
        <w:spacing w:after="160"/>
      </w:pP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3.29 · 30/10/2026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3.29 · 30/10/2026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x2ggycjgkfvu19ode_q6s"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3.29)</dc:title>
  <dc:creator>Fondazione Operate</dc:creator>
  <cp:lastModifiedBy>Un-named</cp:lastModifiedBy>
  <cp:revision>1</cp:revision>
  <dcterms:created xsi:type="dcterms:W3CDTF">2026-10-30T14:59:26.369Z</dcterms:created>
  <dcterms:modified xsi:type="dcterms:W3CDTF">2026-10-30T14:59:26.369Z</dcterms:modified>
</cp:coreProperties>
</file>

<file path=docProps/custom.xml><?xml version="1.0" encoding="utf-8"?>
<Properties xmlns="http://schemas.openxmlformats.org/officeDocument/2006/custom-properties" xmlns:vt="http://schemas.openxmlformats.org/officeDocument/2006/docPropsVTypes"/>
</file>