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30/10/2026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TEST_PORTALE_CWP: script 48 e correzioni sul ramo correzioni-rilievi-t.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di Borgoval (ISPRA Casalmaggiore 2024, differenziata all'87%, 10.778 utenze) e correzione ISS-041.</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(cronologia, artefatti, Da fare subito).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del 26/10: lettura dei siti completata (primo giro), funzionalità e «Da fare subito»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8.4 del 30/10/2026.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28</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26/10/2026)</w:t>
        </w:r>
        <w:r>
          <w:rPr>
            <w:rFonts w:ascii="Arial" w:cs="Arial" w:eastAsia="Arial" w:hAnsi="Arial"/>
            <w:color w:val="1B2118"/>
            <w:sz w:val="22"/>
            <w:szCs w:val="22"/>
          </w:rPr>
          <w:tab/>
          <w:t xml:space="preserve">31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34</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36</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60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83</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48_rilievi_test_portale.sql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TEST_PORTALE_CWP del 29/10/2026 (scelte di Luca del 30/10: tutto tranne il Marketing). Fasi: Progetto 5 «Validazione del progetto», 7 «Registrazione del progetto», Rapporto 7 «Emissione dei crediti» (fase e durata_fase). </w:t>
            </w:r>
            <w:r>
              <w:rPr>
                <w:rFonts w:ascii="Consolas" w:cs="Consolas" w:eastAsia="Consolas" w:hAnsi="Consolas"/>
                <w:color w:val="2F5D3A"/>
                <w:sz w:val="18"/>
                <w:szCs w:val="18"/>
              </w:rPr>
              <w:t xml:space="preserve">staff_cruscotto</w:t>
            </w:r>
            <w:r>
              <w:rPr>
                <w:rFonts w:ascii="Arial" w:cs="Arial" w:eastAsia="Arial" w:hAnsi="Arial"/>
                <w:color w:val="1B2118"/>
                <w:sz w:val="18"/>
                <w:szCs w:val="18"/>
              </w:rPr>
              <w:t xml:space="preserve"> con ente di validazione, fatture scadute e in scadenza, dichiarazioni di cancellazione da ricevere e oltre i 10 giorni. </w:t>
            </w:r>
            <w:r>
              <w:rPr>
                <w:rFonts w:ascii="Consolas" w:cs="Consolas" w:eastAsia="Consolas" w:hAnsi="Consolas"/>
                <w:color w:val="2F5D3A"/>
                <w:sz w:val="18"/>
                <w:szCs w:val="18"/>
              </w:rPr>
              <w:t xml:space="preserve">ente_validazione.approvato_il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cwp_piva_valida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cwp_cf_valido</w:t>
            </w:r>
            <w:r>
              <w:rPr>
                <w:rFonts w:ascii="Arial" w:cs="Arial" w:eastAsia="Arial" w:hAnsi="Arial"/>
                <w:color w:val="1B2118"/>
                <w:sz w:val="18"/>
                <w:szCs w:val="18"/>
              </w:rPr>
              <w:t xml:space="preserve">, trigger </w:t>
            </w:r>
            <w:r>
              <w:rPr>
                <w:rFonts w:ascii="Consolas" w:cs="Consolas" w:eastAsia="Consolas" w:hAnsi="Consolas"/>
                <w:color w:val="2F5D3A"/>
                <w:sz w:val="18"/>
                <w:szCs w:val="18"/>
              </w:rPr>
              <w:t xml:space="preserve">trg_organizzazione_dati_fiscali</w:t>
            </w:r>
            <w:r>
              <w:rPr>
                <w:rFonts w:ascii="Arial" w:cs="Arial" w:eastAsia="Arial" w:hAnsi="Arial"/>
                <w:color w:val="1B2118"/>
                <w:sz w:val="18"/>
                <w:szCs w:val="18"/>
              </w:rPr>
              <w:t xml:space="preserve"> (controllo quando si scrivono CF e P.IVA) e </w:t>
            </w:r>
            <w:r>
              <w:rPr>
                <w:rFonts w:ascii="Consolas" w:cs="Consolas" w:eastAsia="Consolas" w:hAnsi="Consolas"/>
                <w:color w:val="2F5D3A"/>
                <w:sz w:val="18"/>
                <w:szCs w:val="18"/>
              </w:rPr>
              <w:t xml:space="preserve">trg_pagamento_dati_fiscali</w:t>
            </w:r>
            <w:r>
              <w:rPr>
                <w:rFonts w:ascii="Arial" w:cs="Arial" w:eastAsia="Arial" w:hAnsi="Arial"/>
                <w:color w:val="1B2118"/>
                <w:sz w:val="18"/>
                <w:szCs w:val="18"/>
              </w:rPr>
              <w:t xml:space="preserve"> (voci iscrizione e registrazione solo con CF valido). </w:t>
            </w:r>
            <w:r>
              <w:rPr>
                <w:rFonts w:ascii="Consolas" w:cs="Consolas" w:eastAsia="Consolas" w:hAnsi="Consolas"/>
                <w:color w:val="2F5D3A"/>
                <w:sz w:val="18"/>
                <w:szCs w:val="18"/>
              </w:rPr>
              <w:t xml:space="preserve">documento_richiesto.obbligatorio</w:t>
            </w:r>
            <w:r>
              <w:rPr>
                <w:rFonts w:ascii="Arial" w:cs="Arial" w:eastAsia="Arial" w:hAnsi="Arial"/>
                <w:color w:val="1B2118"/>
                <w:sz w:val="18"/>
                <w:szCs w:val="18"/>
              </w:rPr>
              <w:t xml:space="preserve">, voce «Modulo di delega di rappresentanza» in fase 1 non obbligatoria, </w:t>
            </w:r>
            <w:r>
              <w:rPr>
                <w:rFonts w:ascii="Consolas" w:cs="Consolas" w:eastAsia="Consolas" w:hAnsi="Consolas"/>
                <w:color w:val="2F5D3A"/>
                <w:sz w:val="18"/>
                <w:szCs w:val="18"/>
              </w:rPr>
              <w:t xml:space="preserve">cwp_documenti_mancanti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2 del Progetto solo con codici ISTAT, fasi 2 e 6 solo con i documenti obbligatori delle fasi precedenti salvo deroga motivata dell'Amministratore (audit).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tipo «ricorso» (codice RIC), </w:t>
            </w:r>
            <w:r>
              <w:rPr>
                <w:rFonts w:ascii="Consolas" w:cs="Consolas" w:eastAsia="Consolas" w:hAnsi="Consolas"/>
                <w:color w:val="2F5D3A"/>
                <w:sz w:val="18"/>
                <w:szCs w:val="18"/>
              </w:rPr>
              <w:t xml:space="preserve">costi_comunicati_il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costi_non_dovuti</w:t>
            </w:r>
            <w:r>
              <w:rPr>
                <w:rFonts w:ascii="Arial" w:cs="Arial" w:eastAsia="Arial" w:hAnsi="Arial"/>
                <w:color w:val="1B2118"/>
                <w:sz w:val="18"/>
                <w:szCs w:val="18"/>
              </w:rPr>
              <w:t xml:space="preserve"> (costi a 0). </w:t>
            </w:r>
            <w:r>
              <w:rPr>
                <w:rFonts w:ascii="Consolas" w:cs="Consolas" w:eastAsia="Consolas" w:hAnsi="Consolas"/>
                <w:color w:val="2F5D3A"/>
                <w:sz w:val="18"/>
                <w:szCs w:val="18"/>
              </w:rPr>
              <w:t xml:space="preserve">cwp_progetto_registrato</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trg_calcolo_ex_post</w:t>
            </w:r>
            <w:r>
              <w:rPr>
                <w:rFonts w:ascii="Arial" w:cs="Arial" w:eastAsia="Arial" w:hAnsi="Arial"/>
                <w:color w:val="1B2118"/>
                <w:sz w:val="18"/>
                <w:szCs w:val="18"/>
              </w:rPr>
              <w:t xml:space="preserve"> (ex post solo per anno concluso e Progetto registrato, alla creazione, al cambio di anno/tipo/pratica e alla conferma). </w:t>
            </w:r>
            <w:r>
              <w:rPr>
                <w:rFonts w:ascii="Consolas" w:cs="Consolas" w:eastAsia="Consolas" w:hAnsi="Consolas"/>
                <w:color w:val="2F5D3A"/>
                <w:sz w:val="18"/>
                <w:szCs w:val="18"/>
              </w:rPr>
              <w:t xml:space="preserve">pratica_codice_automatico</w:t>
            </w:r>
            <w:r>
              <w:rPr>
                <w:rFonts w:ascii="Arial" w:cs="Arial" w:eastAsia="Arial" w:hAnsi="Arial"/>
                <w:color w:val="1B2118"/>
                <w:sz w:val="18"/>
                <w:szCs w:val="18"/>
              </w:rPr>
              <w:t xml:space="preserve">: codice sempre automatico. </w:t>
            </w:r>
            <w:r>
              <w:rPr>
                <w:rFonts w:ascii="Consolas" w:cs="Consolas" w:eastAsia="Consolas" w:hAnsi="Consolas"/>
                <w:color w:val="2F5D3A"/>
                <w:sz w:val="18"/>
                <w:szCs w:val="18"/>
              </w:rPr>
              <w:t xml:space="preserve">calcolo_utenza.nominativo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indirizzo</w:t>
            </w:r>
            <w:r>
              <w:rPr>
                <w:rFonts w:ascii="Arial" w:cs="Arial" w:eastAsia="Arial" w:hAnsi="Arial"/>
                <w:color w:val="1B2118"/>
                <w:sz w:val="18"/>
                <w:szCs w:val="18"/>
              </w:rPr>
              <w:t xml:space="preserve"> facoltativi;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non li salva più. Prova </w:t>
            </w:r>
            <w:r>
              <w:rPr>
                <w:rFonts w:ascii="Consolas" w:cs="Consolas" w:eastAsia="Consolas" w:hAnsi="Consolas"/>
                <w:color w:val="2F5D3A"/>
                <w:sz w:val="18"/>
                <w:szCs w:val="18"/>
              </w:rPr>
              <w:t xml:space="preserve">t48.sql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26/10/2026)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 Dal 23/10 il Rapporto si crea solo per un Progetto registrato (fase 6 completata, script 45); dal 25/10 il listino Caso 1 / Caso 2 è obbligatorio per ogni Progetto (script 47)</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e 5.818 gestori in categoria 1. Dal 25/10 lettura automatica e gratuita dei siti (script 46): al 26/10 7.904 Comuni con 6.182 email generiche, 7.504 PEC, 3.866 telefoni, email degli uffici tributi o ambiente per 3.092 Comuni; gestori: 166 lombardi delle classi A-C verificati a mano, 135 email generiche. Mancano: dominio email verificato, verifica legale delle email promozionali, sito e recapiti di circa 5.650 gestori senza sito conosciuto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30 ottobre 2026</w:t>
      </w:r>
    </w:p>
    <w:p>
      <w:pPr>
        <w:pStyle w:val="ListParagraph"/>
        <w:numPr>
          <w:ilvl w:val="0"/>
          <w:numId w:val="3"/>
        </w:numPr>
        <w:spacing w:after="70" w:line="290"/>
      </w:pPr>
      <w:r>
        <w:rPr>
          <w:rFonts w:ascii="Arial" w:cs="Arial" w:eastAsia="Arial" w:hAnsi="Arial"/>
          <w:b/>
          <w:bCs/>
          <w:color w:val="1B2118"/>
          <w:sz w:val="21"/>
          <w:szCs w:val="21"/>
        </w:rPr>
        <w:t xml:space="preserve">Rilievi TEST_PORTALE_CWP (documento del 29/10, mandato da Luca alle 15:24).</w:t>
      </w:r>
      <w:r>
        <w:rPr>
          <w:rFonts w:ascii="Arial" w:cs="Arial" w:eastAsia="Arial" w:hAnsi="Arial"/>
          <w:color w:val="1B2118"/>
          <w:sz w:val="21"/>
          <w:szCs w:val="21"/>
        </w:rPr>
        <w:t xml:space="preserve"> 31 rilievi T01-T31 verificati su portale, codice, database (in lettura) e documenti del Programma; risposte nel documento di progetto </w:t>
      </w:r>
      <w:r>
        <w:rPr>
          <w:rFonts w:ascii="Consolas" w:cs="Consolas" w:eastAsia="Consolas" w:hAnsi="Consolas"/>
          <w:color w:val="2F5D3A"/>
          <w:sz w:val="21"/>
          <w:szCs w:val="21"/>
        </w:rPr>
        <w:t xml:space="preserve">claude/test-portale-cwp-risposte.md</w:t>
      </w:r>
      <w:r>
        <w:rPr>
          <w:rFonts w:ascii="Arial" w:cs="Arial" w:eastAsia="Arial" w:hAnsi="Arial"/>
          <w:color w:val="1B2118"/>
          <w:sz w:val="21"/>
          <w:szCs w:val="21"/>
        </w:rPr>
        <w:t xml:space="preserve">, registro issue aggiornato. Scelte di Luca: «tutto ma lascia il marketing invariato» (T30 e T31 esclusi).</w:t>
      </w:r>
    </w:p>
    <w:p>
      <w:pPr>
        <w:pStyle w:val="ListParagraph"/>
        <w:numPr>
          <w:ilvl w:val="0"/>
          <w:numId w:val="3"/>
        </w:numPr>
        <w:spacing w:after="70" w:line="290"/>
      </w:pPr>
      <w:r>
        <w:rPr>
          <w:rFonts w:ascii="Arial" w:cs="Arial" w:eastAsia="Arial" w:hAnsi="Arial"/>
          <w:b/>
          <w:bCs/>
          <w:color w:val="1B2118"/>
          <w:sz w:val="21"/>
          <w:szCs w:val="21"/>
        </w:rPr>
        <w:t xml:space="preserve">Correzioni sul ramo `correzioni-rilievi-t`</w:t>
      </w:r>
      <w:r>
        <w:rPr>
          <w:rFonts w:ascii="Arial" w:cs="Arial" w:eastAsia="Arial" w:hAnsi="Arial"/>
          <w:color w:val="1B2118"/>
          <w:sz w:val="21"/>
          <w:szCs w:val="21"/>
        </w:rPr>
        <w:t xml:space="preserve"> (non ancora in produzione): script 48 e pagine.</w:t>
      </w:r>
    </w:p>
    <w:p>
      <w:pPr>
        <w:pStyle w:val="ListParagraph"/>
        <w:numPr>
          <w:ilvl w:val="1"/>
          <w:numId w:val="3"/>
        </w:numPr>
        <w:spacing w:after="70" w:line="290"/>
      </w:pPr>
      <w:r>
        <w:rPr>
          <w:rFonts w:ascii="Arial" w:cs="Arial" w:eastAsia="Arial" w:hAnsi="Arial"/>
          <w:color w:val="1B2118"/>
          <w:sz w:val="20"/>
          <w:szCs w:val="20"/>
        </w:rPr>
        <w:t xml:space="preserve">Fasi (T01, T02): «Validazione del progetto», «Registrazione del progetto», «Emissione dei crediti».</w:t>
      </w:r>
    </w:p>
    <w:p>
      <w:pPr>
        <w:pStyle w:val="ListParagraph"/>
        <w:numPr>
          <w:ilvl w:val="1"/>
          <w:numId w:val="3"/>
        </w:numPr>
        <w:spacing w:after="70" w:line="290"/>
      </w:pPr>
      <w:r>
        <w:rPr>
          <w:rFonts w:ascii="Arial" w:cs="Arial" w:eastAsia="Arial" w:hAnsi="Arial"/>
          <w:color w:val="1B2118"/>
          <w:sz w:val="20"/>
          <w:szCs w:val="20"/>
        </w:rPr>
        <w:t xml:space="preserve">Dashboard (T03, T05): stato nel Programma (Guida) sotto lo stato interno, anche nell'elenco delle pratiche; ente; riquadri fatture scadute, in scadenza, dichiarazioni di cancellazione da ricevere.</w:t>
      </w:r>
    </w:p>
    <w:p>
      <w:pPr>
        <w:pStyle w:val="ListParagraph"/>
        <w:numPr>
          <w:ilvl w:val="1"/>
          <w:numId w:val="3"/>
        </w:numPr>
        <w:spacing w:after="70" w:line="290"/>
      </w:pPr>
      <w:r>
        <w:rPr>
          <w:rFonts w:ascii="Arial" w:cs="Arial" w:eastAsia="Arial" w:hAnsi="Arial"/>
          <w:color w:val="1B2118"/>
          <w:sz w:val="20"/>
          <w:szCs w:val="20"/>
        </w:rPr>
        <w:t xml:space="preserve">Anagrafiche (T07, T08): «Approvato il» degli enti; controllo di codice fiscale e partita IVA (</w:t>
      </w:r>
      <w:r>
        <w:rPr>
          <w:rFonts w:ascii="Consolas" w:cs="Consolas" w:eastAsia="Consolas" w:hAnsi="Consolas"/>
          <w:color w:val="2F5D3A"/>
          <w:sz w:val="20"/>
          <w:szCs w:val="20"/>
        </w:rPr>
        <w:t xml:space="preserve">src/lib/codiciFiscali.js</w:t>
      </w:r>
      <w:r>
        <w:rPr>
          <w:rFonts w:ascii="Arial" w:cs="Arial" w:eastAsia="Arial" w:hAnsi="Arial"/>
          <w:color w:val="1B2118"/>
          <w:sz w:val="20"/>
          <w:szCs w:val="20"/>
        </w:rPr>
        <w:t xml:space="preserve"> e database); fatture di iscrizione e registrazione solo con codice fiscale valido.</w:t>
      </w:r>
    </w:p>
    <w:p>
      <w:pPr>
        <w:pStyle w:val="ListParagraph"/>
        <w:numPr>
          <w:ilvl w:val="1"/>
          <w:numId w:val="3"/>
        </w:numPr>
        <w:spacing w:after="70" w:line="290"/>
      </w:pPr>
      <w:r>
        <w:rPr>
          <w:rFonts w:ascii="Arial" w:cs="Arial" w:eastAsia="Arial" w:hAnsi="Arial"/>
          <w:color w:val="1B2118"/>
          <w:sz w:val="20"/>
          <w:szCs w:val="20"/>
        </w:rPr>
        <w:t xml:space="preserve">Pratiche (T12, T14, T15, T25): verifiche documentali (fasi 2 e 6) solo con i documenti obbligatori, deroga motivata dell'Amministratore; fase 2 del Progetto solo con codici ISTAT; codice sempre automatico (campo manuale tolto); delega di rappresentanza «se applicabile».</w:t>
      </w:r>
    </w:p>
    <w:p>
      <w:pPr>
        <w:pStyle w:val="ListParagraph"/>
        <w:numPr>
          <w:ilvl w:val="1"/>
          <w:numId w:val="3"/>
        </w:numPr>
        <w:spacing w:after="70" w:line="290"/>
      </w:pPr>
      <w:r>
        <w:rPr>
          <w:rFonts w:ascii="Arial" w:cs="Arial" w:eastAsia="Arial" w:hAnsi="Arial"/>
          <w:color w:val="1B2118"/>
          <w:sz w:val="20"/>
          <w:szCs w:val="20"/>
        </w:rPr>
        <w:t xml:space="preserve">Reclami (T17, T18): ricorso; costi comunicati e non dovuti.</w:t>
      </w:r>
    </w:p>
    <w:p>
      <w:pPr>
        <w:pStyle w:val="ListParagraph"/>
        <w:numPr>
          <w:ilvl w:val="1"/>
          <w:numId w:val="3"/>
        </w:numPr>
        <w:spacing w:after="70" w:line="290"/>
      </w:pPr>
      <w:r>
        <w:rPr>
          <w:rFonts w:ascii="Arial" w:cs="Arial" w:eastAsia="Arial" w:hAnsi="Arial"/>
          <w:color w:val="1B2118"/>
          <w:sz w:val="20"/>
          <w:szCs w:val="20"/>
        </w:rPr>
        <w:t xml:space="preserve">Calcolo crediti (T19, T20, T22, T23): «Anno di monitoraggio»; nel passo 2 fonte e anno di riferimento (Standard 4.8.1) con la differenziata dei rifiuti (64-66%) e avviso nel calcolo e nel PDF; ex post solo per anni conclusi e Progetti registrati; riquadro «Risultati non aggiornati»; controllo dei conferimenti oltre i rifiuti del territorio con soglia +50% quando il passo 2 è un anno di riferimento diverso.</w:t>
      </w:r>
    </w:p>
    <w:p>
      <w:pPr>
        <w:pStyle w:val="ListParagraph"/>
        <w:numPr>
          <w:ilvl w:val="1"/>
          <w:numId w:val="3"/>
        </w:numPr>
        <w:spacing w:after="70" w:line="290"/>
      </w:pPr>
      <w:r>
        <w:rPr>
          <w:rFonts w:ascii="Arial" w:cs="Arial" w:eastAsia="Arial" w:hAnsi="Arial"/>
          <w:color w:val="1B2118"/>
          <w:sz w:val="20"/>
          <w:szCs w:val="20"/>
        </w:rPr>
        <w:t xml:space="preserve">Simulatore (T04, T10, T11): riferimento come da Standard (anno 64-66% o cluster senza ricalcolo; anno fuori intervallo = errore); tolti taratura e riferimenti EsaCom; «valore ipotetico del credito» al posto di «prezzo di riferimento». La micro simulazione della pagina /scopri (Marketing) resta com'era (opzione </w:t>
      </w:r>
      <w:r>
        <w:rPr>
          <w:rFonts w:ascii="Consolas" w:cs="Consolas" w:eastAsia="Consolas" w:hAnsi="Consolas"/>
          <w:color w:val="2F5D3A"/>
          <w:sz w:val="20"/>
          <w:szCs w:val="20"/>
        </w:rPr>
        <w:t xml:space="preserve">riferimentoAllaSoglia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Audit (T28): «Scarica CSV».</w:t>
      </w:r>
    </w:p>
    <w:p>
      <w:pPr>
        <w:pStyle w:val="ListParagraph"/>
        <w:numPr>
          <w:ilvl w:val="1"/>
          <w:numId w:val="3"/>
        </w:numPr>
        <w:spacing w:after="70" w:line="290"/>
      </w:pPr>
      <w:r>
        <w:rPr>
          <w:rFonts w:ascii="Arial" w:cs="Arial" w:eastAsia="Arial" w:hAnsi="Arial"/>
          <w:color w:val="1B2118"/>
          <w:sz w:val="20"/>
          <w:szCs w:val="20"/>
        </w:rPr>
        <w:t xml:space="preserve">Banca Dati Utenze (T29, DPIA A1): niente nomi e indirizzi; modello Excel v1.1 senza quelle colonne; colonne dei vecchi file ignorate con avviso.</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t48.sql</w:t>
      </w:r>
      <w:r>
        <w:rPr>
          <w:rFonts w:ascii="Arial" w:cs="Arial" w:eastAsia="Arial" w:hAnsi="Arial"/>
          <w:color w:val="1B2118"/>
          <w:sz w:val="20"/>
          <w:szCs w:val="20"/>
        </w:rPr>
        <w:t xml:space="preserve"> sul banco (tutte come attese), nuova serie </w:t>
      </w:r>
      <w:r>
        <w:rPr>
          <w:rFonts w:ascii="Consolas" w:cs="Consolas" w:eastAsia="Consolas" w:hAnsi="Consolas"/>
          <w:color w:val="2F5D3A"/>
          <w:sz w:val="20"/>
          <w:szCs w:val="20"/>
        </w:rPr>
        <w:t xml:space="preserve">test/rilievi_t.test.mjs</w:t>
      </w:r>
      <w:r>
        <w:rPr>
          <w:rFonts w:ascii="Arial" w:cs="Arial" w:eastAsia="Arial" w:hAnsi="Arial"/>
          <w:color w:val="1B2118"/>
          <w:sz w:val="20"/>
          <w:szCs w:val="20"/>
        </w:rPr>
        <w:t xml:space="preserve">, serie aggiornate (21 serie superate); pagine verificate a schermo su computer (1366 px) e telefono (390 px).</w:t>
      </w:r>
    </w:p>
    <w:p>
      <w:pPr>
        <w:pStyle w:val="ListParagraph"/>
        <w:numPr>
          <w:ilvl w:val="1"/>
          <w:numId w:val="3"/>
        </w:numPr>
        <w:spacing w:after="70" w:line="290"/>
      </w:pPr>
      <w:r>
        <w:rPr>
          <w:rFonts w:ascii="Arial" w:cs="Arial" w:eastAsia="Arial" w:hAnsi="Arial"/>
          <w:color w:val="1B2118"/>
          <w:sz w:val="20"/>
          <w:szCs w:val="20"/>
        </w:rPr>
        <w:t xml:space="preserve">Effetto da sapere: lo scenario di prova di Borgoval del 26/10 («ISPRA Casalmaggiore 2024», anno 2024 al 78,9%) non è conforme allo Standard e con le nuove regole mostra l'errore; rifatto con il cluster 4 come riferimento e Casalmaggiore come situazione attuale, il margine diventa negativo (6.411 crediti in 10 anni, −27.170 €). Da decidere con Luca.</w:t>
      </w:r>
    </w:p>
    <w:p>
      <w:pPr>
        <w:pStyle w:val="Heading2"/>
        <w:keepNext/>
        <w:spacing w:after="120" w:before="240"/>
      </w:pPr>
      <w:r>
        <w:rPr>
          <w:rFonts w:ascii="Arial" w:cs="Arial" w:eastAsia="Arial" w:hAnsi="Arial"/>
          <w:b/>
          <w:bCs/>
          <w:color w:val="2F5D3A"/>
          <w:sz w:val="25"/>
          <w:szCs w:val="25"/>
        </w:rPr>
        <w:t xml:space="preserve">26 ottobre 2026</w:t>
      </w:r>
    </w:p>
    <w:p>
      <w:pPr>
        <w:pStyle w:val="ListParagraph"/>
        <w:numPr>
          <w:ilvl w:val="0"/>
          <w:numId w:val="3"/>
        </w:numPr>
        <w:spacing w:after="70" w:line="290"/>
      </w:pPr>
      <w:r>
        <w:rPr>
          <w:rFonts w:ascii="Arial" w:cs="Arial" w:eastAsia="Arial" w:hAnsi="Arial"/>
          <w:b/>
          <w:bCs/>
          <w:color w:val="1B2118"/>
          <w:sz w:val="21"/>
          <w:szCs w:val="21"/>
        </w:rPr>
        <w:t xml:space="preserve">Dati di prova di Borgoval: simulatore e calcolo dei crediti</w:t>
      </w:r>
      <w:r>
        <w:rPr>
          <w:rFonts w:ascii="Arial" w:cs="Arial" w:eastAsia="Arial" w:hAnsi="Arial"/>
          <w:color w:val="1B2118"/>
          <w:sz w:val="21"/>
          <w:szCs w:val="21"/>
        </w:rPr>
        <w:t xml:space="preserve"> (richiesta di Luca delle 10:07). Fonte: Catasto rifiuti ISPRA 2024 del Comune di Casalmaggiore (CR): 8.877,8 t, differenziata 79,7%; popolazione 15.095 (2025). Le quantità per tipologia sono riportate ai 26.382 abitanti di Borgoval (×1,7477): 14.964,9 t, 567,2 kg/ab, secco 119,6 kg/ab, differenziata 78,9% sulle tipologie CWP (escluse pulizia stradale, selettiva e «altro»; la frazione organica ISPRA comprende il verde).</w:t>
      </w:r>
    </w:p>
    <w:p>
      <w:pPr>
        <w:pStyle w:val="ListParagraph"/>
        <w:numPr>
          <w:ilvl w:val="1"/>
          <w:numId w:val="3"/>
        </w:numPr>
        <w:spacing w:after="70" w:line="290"/>
      </w:pPr>
      <w:r>
        <w:rPr>
          <w:rFonts w:ascii="Arial" w:cs="Arial" w:eastAsia="Arial" w:hAnsi="Arial"/>
          <w:color w:val="1B2118"/>
          <w:sz w:val="20"/>
          <w:szCs w:val="20"/>
        </w:rPr>
        <w:t xml:space="preserve">Scenario «ISPRA Casalmaggiore 2024 - differenziata all'87% (per utenza)», 2027-2036: produzione pro capite invariata, differenziata dal 79,7% del 2027 all'87% del 2036; metodo per utenza (secco e organico misurati, variabilità 30%), buffer 40%; Caso 1, 32 € a credito. Crediti netti da 4.918 (2027) a 6.845 (2036), 58.640 in tutto; ricavi 1.876.352 €, costi 232.162 €, margine positivo ogni anno (1.644.190 €). Con il metodo «bilancio del Comune» i crediti sarebbero quasi zero (spostare il secco nella differenziata a parità di totale non genera crediti).</w:t>
      </w:r>
    </w:p>
    <w:p>
      <w:pPr>
        <w:pStyle w:val="ListParagraph"/>
        <w:numPr>
          <w:ilvl w:val="1"/>
          <w:numId w:val="3"/>
        </w:numPr>
        <w:spacing w:after="70" w:line="290"/>
      </w:pPr>
      <w:r>
        <w:rPr>
          <w:rFonts w:ascii="Arial" w:cs="Arial" w:eastAsia="Arial" w:hAnsi="Arial"/>
          <w:color w:val="1B2118"/>
          <w:sz w:val="20"/>
          <w:szCs w:val="20"/>
        </w:rPr>
        <w:t xml:space="preserve">Calcolo «PROVA Borgoval 2027 - utenze generate (ISPRA Casalmaggiore) - non confermare» (bozza, ex post, Progetto CWP-2026-0001): rifiuti del territorio = scenario di riferimento 2027 al 65%; delibera di prova (PEF 70/30, Kb e Kd indicativi sul modello del DPR 158/1999); 9.000 utenze domestiche UtD1-UtD9000 e 1.778 non domestiche UtND1-UtND1778 (quota non domestica dei rifiuti / produzione media della delibera), con kg e svuotamenti di secco e organico intorno ai valori attesi × rapporto progetto/riferimento dello scenario. Risultato: 7.688 utenze virtuose su 10.778, crediti lordi 5.129,4, buffer 40%, </w:t>
      </w:r>
      <w:r>
        <w:rPr>
          <w:rFonts w:ascii="Arial" w:cs="Arial" w:eastAsia="Arial" w:hAnsi="Arial"/>
          <w:b/>
          <w:bCs/>
          <w:color w:val="1B2118"/>
          <w:sz w:val="20"/>
          <w:szCs w:val="20"/>
        </w:rPr>
        <w:t xml:space="preserve">crediti netti 3.077,7 tCO₂eq</w:t>
      </w:r>
      <w:r>
        <w:rPr>
          <w:rFonts w:ascii="Arial" w:cs="Arial" w:eastAsia="Arial" w:hAnsi="Arial"/>
          <w:color w:val="1B2118"/>
          <w:sz w:val="20"/>
          <w:szCs w:val="20"/>
        </w:rPr>
        <w:t xml:space="preserve"> (98.464 € a 32 €, contro 23.216 € di costi annui del Caso 1). Il simulatore per lo stesso anno stima 4.918 crediti netti: conta le utenze virtuose frazione per frazione, mentre il calcolo compensa in ogni utenza il secco evitato con l'organico in più (differenza da portare alla Fondazione).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strumenti/borgoval_prova.mjs</w:t>
      </w:r>
      <w:r>
        <w:rPr>
          <w:rFonts w:ascii="Arial" w:cs="Arial" w:eastAsia="Arial" w:hAnsi="Arial"/>
          <w:color w:val="1B2118"/>
          <w:sz w:val="20"/>
          <w:szCs w:val="20"/>
        </w:rPr>
        <w:t xml:space="preserve"> → </w:t>
      </w:r>
      <w:r>
        <w:rPr>
          <w:rFonts w:ascii="Consolas" w:cs="Consolas" w:eastAsia="Consolas" w:hAnsi="Consolas"/>
          <w:color w:val="2F5D3A"/>
          <w:sz w:val="20"/>
          <w:szCs w:val="20"/>
        </w:rPr>
        <w:t xml:space="preserve">strumenti/borgoval_prova.sql</w:t>
      </w:r>
      <w:r>
        <w:rPr>
          <w:rFonts w:ascii="Arial" w:cs="Arial" w:eastAsia="Arial" w:hAnsi="Arial"/>
          <w:color w:val="1B2118"/>
          <w:sz w:val="20"/>
          <w:szCs w:val="20"/>
        </w:rPr>
        <w:t xml:space="preserve"> (numeri pseudo-casuali riproducibili, rieseguibile), eseguito in produzione alle 10:21.</w:t>
      </w:r>
    </w:p>
    <w:p>
      <w:pPr>
        <w:pStyle w:val="ListParagraph"/>
        <w:numPr>
          <w:ilvl w:val="0"/>
          <w:numId w:val="3"/>
        </w:numPr>
        <w:spacing w:after="70" w:line="290"/>
      </w:pPr>
      <w:r>
        <w:rPr>
          <w:rFonts w:ascii="Arial" w:cs="Arial" w:eastAsia="Arial" w:hAnsi="Arial"/>
          <w:b/>
          <w:bCs/>
          <w:color w:val="1B2118"/>
          <w:sz w:val="21"/>
          <w:szCs w:val="21"/>
        </w:rPr>
        <w:t xml:space="preserve">Correzione ISS-041 (calcolo con più di 1.000 utenze)</w:t>
      </w:r>
      <w:r>
        <w:rPr>
          <w:rFonts w:ascii="Arial" w:cs="Arial" w:eastAsia="Arial" w:hAnsi="Arial"/>
          <w:color w:val="1B2118"/>
          <w:sz w:val="21"/>
          <w:szCs w:val="21"/>
        </w:rPr>
        <w:t xml:space="preserve">: la prova di Borgoval ha mostrato che il motore leggeva solo le prime 1.000 utenze del passo 5a (limite di righe dell'API di Supabase). </w:t>
      </w:r>
      <w:r>
        <w:rPr>
          <w:rFonts w:ascii="Consolas" w:cs="Consolas" w:eastAsia="Consolas" w:hAnsi="Consolas"/>
          <w:color w:val="2F5D3A"/>
          <w:sz w:val="21"/>
          <w:szCs w:val="21"/>
        </w:rPr>
        <w:t xml:space="preserve">leggiUtenzeCalcolo</w:t>
      </w:r>
      <w:r>
        <w:rPr>
          <w:rFonts w:ascii="Arial" w:cs="Arial" w:eastAsia="Arial" w:hAnsi="Arial"/>
          <w:color w:val="1B2118"/>
          <w:sz w:val="21"/>
          <w:szCs w:val="21"/>
        </w:rPr>
        <w:t xml:space="preserve"> ora legge a blocchi di 1.000 finché arrivano righe (main </w:t>
      </w:r>
      <w:r>
        <w:rPr>
          <w:rFonts w:ascii="Consolas" w:cs="Consolas" w:eastAsia="Consolas" w:hAnsi="Consolas"/>
          <w:color w:val="2F5D3A"/>
          <w:sz w:val="21"/>
          <w:szCs w:val="21"/>
        </w:rPr>
        <w:t xml:space="preserve">c8ab6c8</w:t>
      </w:r>
      <w:r>
        <w:rPr>
          <w:rFonts w:ascii="Arial" w:cs="Arial" w:eastAsia="Arial" w:hAnsi="Arial"/>
          <w:color w:val="1B2118"/>
          <w:sz w:val="21"/>
          <w:szCs w:val="21"/>
        </w:rPr>
        <w:t xml:space="preserve">, in produzione alle 10:25); verificato sul calcolo di Borgoval (10.778 utenze, risultato identico al motore fuori dal portale).</w:t>
      </w:r>
    </w:p>
    <w:p>
      <w:pPr>
        <w:pStyle w:val="ListParagraph"/>
        <w:numPr>
          <w:ilvl w:val="0"/>
          <w:numId w:val="3"/>
        </w:numPr>
        <w:spacing w:after="70" w:line="290"/>
      </w:pPr>
      <w:r>
        <w:rPr>
          <w:rFonts w:ascii="Arial" w:cs="Arial" w:eastAsia="Arial" w:hAnsi="Arial"/>
          <w:b/>
          <w:bCs/>
          <w:color w:val="1B2118"/>
          <w:sz w:val="21"/>
          <w:szCs w:val="21"/>
        </w:rPr>
        <w:t xml:space="preserve">Traccia DPIA della Banca Dati Utenze</w:t>
      </w:r>
      <w:r>
        <w:rPr>
          <w:rFonts w:ascii="Arial" w:cs="Arial" w:eastAsia="Arial" w:hAnsi="Arial"/>
          <w:color w:val="1B2118"/>
          <w:sz w:val="21"/>
          <w:szCs w:val="21"/>
        </w:rPr>
        <w:t xml:space="preserve"> (richiesta di Luca: «puoi scriverla e pubblicarla nell'area admin?»): nuovo documento </w:t>
      </w:r>
      <w:r>
        <w:rPr>
          <w:rFonts w:ascii="Consolas" w:cs="Consolas" w:eastAsia="Consolas" w:hAnsi="Consolas"/>
          <w:color w:val="2F5D3A"/>
          <w:sz w:val="21"/>
          <w:szCs w:val="21"/>
        </w:rPr>
        <w:t xml:space="preserve">docs/dpia.md</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public/documentazione/DPIA_Banca_Dati_Utenze_Portale_CWP.docx</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.pdf</w:t>
      </w:r>
      <w:r>
        <w:rPr>
          <w:rFonts w:ascii="Arial" w:cs="Arial" w:eastAsia="Arial" w:hAnsi="Arial"/>
          <w:color w:val="1B2118"/>
          <w:sz w:val="21"/>
          <w:szCs w:val="21"/>
        </w:rPr>
        <w:t xml:space="preserve"> (rev. 1.0), nell'area Documentazione solo per gli Amministratori, con Word da mandare al Comune. Contiene: perché serve (criteri WP248), dati trattati, ciclo di vita, chi vede cosa, servizi e luogo dei dati (Supabase in Germania; copia di sicurezza su Mac e Google Drive con le utenze), ruoli (Comune titolare, Fondazione responsabile da confermare), base giuridica da completare, proporzionalità con due proposte (pseudonimizzazione: solo codici utenza; conservazione delle utenze), 10 rischi con livello prima e dopo il piano, misure presenti, piano d'azione A1-A12, parere del DPO e approvazione del titolare in bianco. Non è un parere legale. Configurazione in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(«dpia») e </w:t>
      </w:r>
      <w:r>
        <w:rPr>
          <w:rFonts w:ascii="Consolas" w:cs="Consolas" w:eastAsia="Consolas" w:hAnsi="Consolas"/>
          <w:color w:val="2F5D3A"/>
          <w:sz w:val="21"/>
          <w:szCs w:val="21"/>
        </w:rPr>
        <w:t xml:space="preserve">src/pages/Documentazione.jsx</w:t>
      </w:r>
      <w:r>
        <w:rPr>
          <w:rFonts w:ascii="Arial" w:cs="Arial" w:eastAsia="Arial" w:hAnsi="Arial"/>
          <w:color w:val="1B2118"/>
          <w:sz w:val="21"/>
          <w:szCs w:val="21"/>
        </w:rPr>
        <w:t xml:space="preserve">. Verifica: PDF di 22 pagine controllato a schermo, prove e build.</w:t>
      </w:r>
    </w:p>
    <w:p>
      <w:pPr>
        <w:pStyle w:val="ListParagraph"/>
        <w:numPr>
          <w:ilvl w:val="0"/>
          <w:numId w:val="3"/>
        </w:numPr>
        <w:spacing w:after="70" w:line="290"/>
      </w:pPr>
      <w:r>
        <w:rPr>
          <w:rFonts w:ascii="Arial" w:cs="Arial" w:eastAsia="Arial" w:hAnsi="Arial"/>
          <w:b/>
          <w:bCs/>
          <w:color w:val="1B2118"/>
          <w:sz w:val="21"/>
          <w:szCs w:val="21"/>
        </w:rPr>
        <w:t xml:space="preserve">Lettura dei siti: primo giro completo</w:t>
      </w:r>
      <w:r>
        <w:rPr>
          <w:rFonts w:ascii="Arial" w:cs="Arial" w:eastAsia="Arial" w:hAnsi="Arial"/>
          <w:color w:val="1B2118"/>
          <w:sz w:val="21"/>
          <w:szCs w:val="21"/>
        </w:rPr>
        <w:t xml:space="preserve"> (dalle 11:59 del 25/10 alle 04:00 del 26/10, gratuita). Comuni: 5.365 letti, 2.126 non letti (985 siti chiedono ai programmi automatici di non essere letti — robots.txt, rispettato —, 688 senza risposta in tempo, 374 connessioni rifiutate, 96 errori HTTP, 3 letture interrotte). Gestori: 170 letti, 21 non letti. Risultato nelle banche dati: Comuni con email generica da 5.642 a 6.182, con telefono 3.866; dai siti 1.819 referenti «tributi» e 1.210 «ambiente» (email o telefono dell'ufficio; 298 referenti con il nome), 124 amministratori e 36 direttori generali di gestori; 3.092 Comuni con l'email dell'ufficio tributi o ambiente. Alle 08:05 rimessi in coda una volta i 1.162 siti che non avevano risposto (non quelli che rifiutano i programmi automatici).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07:59): Registro (intestazione, funzionalità, «Da fare subito», capitolo 16), manuali, registro issue, istruzioni di ripristino, presentazione (nuova slide «Novità del 25 e 26 ottobre»), base di conoscenza dell'assistente e analisi dei requisiti nel Progetto claude.ai.</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Scenari del simulatore per i 5 Comuni dei Progetti</w:t>
      </w:r>
      <w:r>
        <w:rPr>
          <w:rFonts w:ascii="Arial" w:cs="Arial" w:eastAsia="Arial" w:hAnsi="Arial"/>
          <w:color w:val="1B2118"/>
          <w:sz w:val="21"/>
          <w:szCs w:val="21"/>
        </w:rPr>
        <w:t xml:space="preserve"> (richiesta di Luca delle 13:23: «popola i dati di simulazione per i comuni mancanti coerente alla metodologia»). Creati alle 13:35 nel SQL Editor, collegati all'organizzazione, con lo stesso motore del Simulatore (calcolati prima in locale, nessun errore nei dati) e la nota del metodo in ogni scenario: Comuni di prova senza dati ISPRA, quindi scenario di riferimento dai valori medi del cluster SOSE 4 della Tabella 3 (Standard 4.8.1, metodo «cluster») × abitanti, riportato al 65% di differenziata; obiettivi −5% rifiuti pro capite e −30% secco al 2036; metodo «bilancio del Comune», buffer 20%, 32 €/credito, Caso 1. Risultati in 10 anni (crediti netti, ricavi, costo per il cliente): Borgoval 7.021,6 / 224.480 € / 232.162 €; del col 1.812,7 / 57.792 € / 76.964 €; vvoli 3.038,3 / 97.056 € / 119.847 €; COLLAUDO V03 A 265,8 / 8.320 € / 12.500 €; B 531,8 / 16.832 € / 23.000 €. Da sostituire con i dati ISPRA dei Comuni quando disponibili.</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4"/>
        <w:gridCol w:w="3427"/>
        <w:gridCol w:w="3427"/>
      </w:tblGrid>
      <w:tr>
        <w:trPr>
          <w:tblHeader/>
        </w:trPr>
        <w:tc>
          <w:tcPr>
            <w:tcW w:type="dxa" w:w="2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ya_bz7awiagmbysvm9zp">
              <w:r>
                <w:rPr>
                  <w:rFonts w:ascii="Arial" w:cs="Arial" w:eastAsia="Arial" w:hAnsi="Arial"/>
                  <w:color w:val="2F5D3A"/>
                  <w:sz w:val="18"/>
                  <w:szCs w:val="18"/>
                  <w:u w:val="single"/>
                </w:rPr>
                <w:t xml:space="preserve">https://claude.ai/artifact/L9duSXhNfKejbz6RKXDQQv</w:t>
              </w:r>
            </w:hyperlink>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tdnctfyxe5dpovh0r8fx">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xnoelcpxry5txjgmsextt">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9sm9o8khxysxkifzwwat8">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in Word/PDF (dal 26/10/2026)</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docs/dpia.md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public/documentazione/DPIA_Banca_Dati_Utenze_Portale_CWP.docx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(art. 35 GDPR) da completare dal Comune e dal suo DPO prima di caricare utenze reali; si aggiorna quando cambia il trattamento delle utenze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 </w:t>
      </w:r>
      <w:r>
        <w:rPr>
          <w:rFonts w:ascii="Arial" w:cs="Arial" w:eastAsia="Arial" w:hAnsi="Arial"/>
          <w:b/>
          <w:bCs/>
          <w:color w:val="1B2118"/>
          <w:sz w:val="21"/>
          <w:szCs w:val="21"/>
        </w:rPr>
        <w:t xml:space="preserve">Superata il 30/10</w:t>
      </w:r>
      <w:r>
        <w:rPr>
          <w:rFonts w:ascii="Arial" w:cs="Arial" w:eastAsia="Arial" w:hAnsi="Arial"/>
          <w:color w:val="1B2118"/>
          <w:sz w:val="21"/>
          <w:szCs w:val="21"/>
        </w:rPr>
        <w:t xml:space="preserve"> (rilievo T12): i documenti obbligatori bloccano la chiusura delle verifiche documentali (fasi 2 e 6), salvo deroga motivata dell'Amministratore.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pStyle w:val="ListParagraph"/>
        <w:numPr>
          <w:ilvl w:val="0"/>
          <w:numId w:val="3"/>
        </w:numPr>
        <w:spacing w:after="70" w:line="290"/>
      </w:pPr>
      <w:r>
        <w:rPr>
          <w:rFonts w:ascii="Arial" w:cs="Arial" w:eastAsia="Arial" w:hAnsi="Arial"/>
          <w:color w:val="1B2118"/>
          <w:sz w:val="21"/>
          <w:szCs w:val="21"/>
        </w:rPr>
        <w:t xml:space="preserve">30/10 — </w:t>
      </w:r>
      <w:r>
        <w:rPr>
          <w:rFonts w:ascii="Arial" w:cs="Arial" w:eastAsia="Arial" w:hAnsi="Arial"/>
          <w:b/>
          <w:bCs/>
          <w:color w:val="1B2118"/>
          <w:sz w:val="21"/>
          <w:szCs w:val="21"/>
        </w:rPr>
        <w:t xml:space="preserve">Rilievi TEST_PORTALE_CWP</w:t>
      </w:r>
      <w:r>
        <w:rPr>
          <w:rFonts w:ascii="Arial" w:cs="Arial" w:eastAsia="Arial" w:hAnsi="Arial"/>
          <w:color w:val="1B2118"/>
          <w:sz w:val="21"/>
          <w:szCs w:val="21"/>
        </w:rPr>
        <w:t xml:space="preserve"> (scelte di Luca): seguire Standard e Guida dove il portale se ne discostava. Riferimento del simulatore come da Standard 4.8.1 (superata la scelta del 19/10 di riportarlo sempre al 65%); niente taratura e niente riferimenti EsaCom; documenti obbligatori bloccanti nelle verifiche documentali; codice della pratica sempre automatico; Banca Dati Utenze senza nomi e indirizzi (superata la scelta del 22/10); fase 7 rinominata. Il Marketing resta invariato.</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30/10/2026)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Rilievi TEST_PORTALE_CWP</w:t>
      </w:r>
      <w:r>
        <w:rPr>
          <w:rFonts w:ascii="Arial" w:cs="Arial" w:eastAsia="Arial" w:hAnsi="Arial"/>
          <w:color w:val="1B2118"/>
          <w:sz w:val="21"/>
          <w:szCs w:val="21"/>
        </w:rPr>
        <w:t xml:space="preserve">: OK per eseguire lo script 48 e pubblicare il ramo </w:t>
      </w:r>
      <w:r>
        <w:rPr>
          <w:rFonts w:ascii="Consolas" w:cs="Consolas" w:eastAsia="Consolas" w:hAnsi="Consolas"/>
          <w:color w:val="2F5D3A"/>
          <w:sz w:val="21"/>
          <w:szCs w:val="21"/>
        </w:rPr>
        <w:t xml:space="preserve">correzioni-rilievi-t</w:t>
      </w:r>
      <w:r>
        <w:rPr>
          <w:rFonts w:ascii="Arial" w:cs="Arial" w:eastAsia="Arial" w:hAnsi="Arial"/>
          <w:color w:val="1B2118"/>
          <w:sz w:val="21"/>
          <w:szCs w:val="21"/>
        </w:rPr>
        <w:t xml:space="preserve">; poi decidere cosa fare dello scenario di prova di Borgoval (non conforme allo Standard) e girare alla Fondazione le domande T01, T04, T06, T16, T17, T21, T24, T27 (documento di progetto </w:t>
      </w:r>
      <w:r>
        <w:rPr>
          <w:rFonts w:ascii="Consolas" w:cs="Consolas" w:eastAsia="Consolas" w:hAnsi="Consolas"/>
          <w:color w:val="2F5D3A"/>
          <w:sz w:val="21"/>
          <w:szCs w:val="21"/>
        </w:rPr>
        <w:t xml:space="preserve">claude/test-portale-cwp-risposte.md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Decidere con la Fondazione quale impostazione del simulatore usare per le stime ufficiali: con il metodo «bilancio del Comune» i 5 Comuni di prova hanno ricavi inferiori al costo del Caso 1 (scenari del 25/10), con il metodo «per utenza» della pagina /scopri le stime sono più alte.</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 </w:t>
      </w:r>
      <w:r>
        <w:rPr>
          <w:rFonts w:ascii="Arial" w:cs="Arial" w:eastAsia="Arial" w:hAnsi="Arial"/>
          <w:b/>
          <w:bCs/>
          <w:color w:val="1B2118"/>
          <w:sz w:val="21"/>
          <w:szCs w:val="21"/>
        </w:rPr>
        <w:t xml:space="preserve">Traccia DPIA pronta dal 26/10</w:t>
      </w:r>
      <w:r>
        <w:rPr>
          <w:rFonts w:ascii="Arial" w:cs="Arial" w:eastAsia="Arial" w:hAnsi="Arial"/>
          <w:color w:val="1B2118"/>
          <w:sz w:val="21"/>
          <w:szCs w:val="21"/>
        </w:rPr>
        <w:t xml:space="preserve"> (area Documentazione, Word da mandare al Comune): decidere la pseudonimizzazione (solo codici utenza), accendere la verifica in due passaggi, accettare i DPA di Supabase e Google, proteggere le copie di sicurezza (piano d'azione A1-A12 della traccia).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b/>
          <w:bCs/>
          <w:color w:val="1B2118"/>
          <w:sz w:val="21"/>
          <w:szCs w:val="21"/>
        </w:rPr>
        <w:t xml:space="preserve">Gestori senza sito</w:t>
      </w:r>
      <w:r>
        <w:rPr>
          <w:rFonts w:ascii="Arial" w:cs="Arial" w:eastAsia="Arial" w:hAnsi="Arial"/>
          <w:color w:val="1B2118"/>
          <w:sz w:val="21"/>
          <w:szCs w:val="21"/>
        </w:rPr>
        <w:t xml:space="preserve"> (circa 5.650): trovare sito e recapiti a giri di circa 90 imprese, prima le classi A-C fuori dalla Lombardia (circa 1.000); poi la lettura automatica completa i dati dai siti.</w:t>
      </w:r>
    </w:p>
    <w:p>
      <w:pPr>
        <w:pStyle w:val="ListParagraph"/>
        <w:numPr>
          <w:ilvl w:val="0"/>
          <w:numId w:val="3"/>
        </w:numPr>
        <w:spacing w:after="70" w:line="290"/>
      </w:pPr>
      <w:r>
        <w:rPr>
          <w:rFonts w:ascii="Arial" w:cs="Arial" w:eastAsia="Arial" w:hAnsi="Arial"/>
          <w:color w:val="1B2118"/>
          <w:sz w:val="21"/>
          <w:szCs w:val="21"/>
        </w:rPr>
        <w:t xml:space="preserve">Lettura dei siti: seconda lettura dei 1.162 siti che non avevano risposto (in corso dal 26/10), poi conteggio finale.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189 file, 45.670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titolo (il codice, ID univoco del progetto, lo assegna sempre il portale: rilievo T14…</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151</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src/lib/codiciFiscali.js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dire se un codice fiscale (11 cifre per enti e società, 16 caratteri per le persone) o una partita IVA (11 cifre) sono scritti correttamente, cifra o carattere di controllo compresi. Le stesse regole sono nel database…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950"/>
        <w:gridCol w:w="5182"/>
      </w:tblGrid>
      <w:tr>
        <w:trPr>
          <w:tblHeader/>
        </w:trPr>
        <w:tc>
          <w:tcPr>
            <w:tcW w:type="dxa" w:w="35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supabase/48_rilievi_test_portale.sql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517</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 — RILIEVI «TEST_PORTALE_CWP» (29/10/2026)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255</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598</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455</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1830</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r>
        <w:rPr>
          <w:rFonts w:ascii="Arial" w:cs="Arial" w:eastAsia="Arial" w:hAnsi="Arial"/>
          <w:color w:val="1B2118"/>
          <w:sz w:val="21"/>
          <w:szCs w:val="21"/>
        </w:rPr>
        <w:t xml:space="preserve"> — primo giro completo il 26/10: 5.365 Comuni e 170 gestori letti; 985 siti rifiutano i programmi automatici (robots.txt, rispettato); risultati nella cronologia.</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8.4 · 30/10/2026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8.4 · 30/10/2026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ya_bz7awiagmbysvm9zp" Type="http://schemas.openxmlformats.org/officeDocument/2006/relationships/hyperlink" Target="https://claude.ai/artifact/L9duSXhNfKejbz6RKXDQQv" TargetMode="External"/><Relationship Id="rIdbtdnctfyxe5dpovh0r8fx" Type="http://schemas.openxmlformats.org/officeDocument/2006/relationships/hyperlink" Target="https://claude.ai/code/artifact/e2dd2bd5-8042-4744-8d5a-54d34dc50153" TargetMode="External"/><Relationship Id="rIdxnoelcpxry5txjgmsextt" Type="http://schemas.openxmlformats.org/officeDocument/2006/relationships/hyperlink" Target="https://claude.ai/code/artifact/cc36ab09-61e6-4dad-aaf0-4082ea0a46da" TargetMode="External"/><Relationship Id="rId9sm9o8khxysxkifzwwat8"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8.4)</dc:title>
  <dc:creator>Fondazione Operate</dc:creator>
  <cp:lastModifiedBy>Un-named</cp:lastModifiedBy>
  <cp:revision>1</cp:revision>
  <dcterms:created xsi:type="dcterms:W3CDTF">2026-10-30T14:59:44.047Z</dcterms:created>
  <dcterms:modified xsi:type="dcterms:W3CDTF">2026-10-30T14:59:44.047Z</dcterms:modified>
</cp:coreProperties>
</file>

<file path=docProps/custom.xml><?xml version="1.0" encoding="utf-8"?>
<Properties xmlns="http://schemas.openxmlformats.org/officeDocument/2006/custom-properties" xmlns:vt="http://schemas.openxmlformats.org/officeDocument/2006/docPropsVTypes"/>
</file>