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26/10/2026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del 26/10.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10.10u: listino obbligatorio.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10.16k-m: lettura dei siti.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6.2b (Rapporto su Progetto non registrato) e 10.16j (elenco dei Comuni senza filtri).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10.16-10.16i: sezione Marketing, campagne, pagina Approfondisci, richiesta di registrazione, disiscrizione.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10.10t: colori dello stato delle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3.28 del 26/10/2026,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mxviwiibnq8rcntoufk4q">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Aprite un Progetto attivo con la fase 6 non ancora completata e guardate la sezione Rapporti di Monitoraggio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 pulsante + Rapporto; la riga «I Rapporti di Monitoraggio si creano dopo la registrazione del Progetto (fase 6 … completata)»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Dati di un Progetto → Modifica i dati: aprite il menu Listino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Caso 1 e Caso 2, nessuna voce «da indicare»; i Progetti esistenti risultano Caso 1 (voce nell'Audit con la motivazione del 25/10)</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10.10t</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una pratica con fasi completate, una in corso e altre non iniziate (anche dal telefono); guardate anche la colonna Fase corrente della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Scritta dello stato verde per Completata, arancio per In corso (e In attesa di integrazione), rossa per Non iniziata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menu; [O] e [C] scrivete /marketing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schede Comuni, Gestori, Campagne, Richieste, Importazioni; Operatore e Comune: «Questa sezione è riservata agli amministratori» e nessuna voce nel menu</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10.16j</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Marketing → Comuni senza nessun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L'elenco si carica: «7.904 Comuni», 50 per pagina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10.16k</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Lettura dei siti: guardate la tabella, poi </w:t>
            </w:r>
            <w:r>
              <w:rPr>
                <w:rFonts w:ascii="Arial" w:cs="Arial" w:eastAsia="Arial" w:hAnsi="Arial"/>
                <w:b/>
                <w:bCs/>
                <w:color w:val="1B2118"/>
                <w:sz w:val="18"/>
                <w:szCs w:val="18"/>
              </w:rPr>
              <w:t xml:space="preserve">Leggi ora 1 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con in coda, in lettura, letti ed errori per Comuni e gestori; dopo qualche secondo il riquadro con pagine lette, email, PEC, telefono e referenti trovati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10.16l</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letto (es. Comune di Lecco) in Marketing → Comuni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generica e PEC compilate; referenti «tributi» e «ambiente» con email dell'ufficio e fonte = pagina del sito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10.16m</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Ferma</w:t>
            </w:r>
            <w:r>
              <w:rPr>
                <w:rFonts w:ascii="Arial" w:cs="Arial" w:eastAsia="Arial" w:hAnsi="Arial"/>
                <w:color w:val="1B2118"/>
                <w:sz w:val="18"/>
                <w:szCs w:val="18"/>
              </w:rPr>
              <w:t xml:space="preserve">, attendete un minuto, poi </w:t>
            </w:r>
            <w:r>
              <w:rPr>
                <w:rFonts w:ascii="Arial" w:cs="Arial" w:eastAsia="Arial" w:hAnsi="Arial"/>
                <w:b/>
                <w:bCs/>
                <w:color w:val="1B2118"/>
                <w:sz w:val="18"/>
                <w:szCs w:val="18"/>
              </w:rPr>
              <w:t xml:space="preserve">Avvia la lettura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la lettura ferma i numeri non cambiano; riavviata, i «letti» riprendono a crescere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Aggiorna i Comuni; poi scheda Comuni, filtro Regione = Veneto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diario ISTAT, IndicePA e uffici; i Comuni del Veneto con abitanti, email generica e PEC in colonne separate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aggiungete un referente «Tributi» con fonte, salvate; provate a scrivere una PEC nel campo «email generica»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Referente salvato; la PEC nel campo email è rifiutata con un messaggio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Campagne → + Nuova campagna, testo di due paragrafi, grafica «Territorio» → Salva → Invia una prova a me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con grafica, testo, riquadro 7/10/21 anni e pulsante «Approfondisci»; l'email di prova arriva con gli stessi contenuti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Destinatari: Comuni del Molise sotto 5.000 abitanti → Cerca → Aggiungi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enti con email generica; il riepilogo indica quanti sono stati saltati (senza email o disiscritti)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il pulsante «Approfondisci» dell'email di prova (anche dal telefono); inserite 16735 abitanti, 8000 t totali, 2400 t di secco, 10 anni, Caso 1 → Calcola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del Comune in alto; margine 491.910 €, ricavi 654.240 €, costi 162.330 €, 20.445 crediti; grafico e tabella anno per anno; nessuno scorrimento orizzontale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stessa pagina scrivete «8.000» come rifiuti totali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produzione risulta di … kg per abitante…»: controllare le unità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Scaricate il fascicolo; compilate la richiesta di registrazione con il consenso → Invia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di 6 pagine; «Richiesta inviata»; tutti gli Amministratori ricevono notifica ed email; la richiesta compare in Marketing → Richieste con la simulazione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collegamento «Non desidero ricevere altre comunicazioni» → Conferma; poi riaggiungete lo stesso ente a una nuova campagna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l'ente è saltato perché disiscritto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3.28 · 26/10/2026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3.28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mxviwiibnq8rcntoufk4q"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3.28)</dc:title>
  <dc:creator>Fondazione Operate</dc:creator>
  <cp:lastModifiedBy>Un-named</cp:lastModifiedBy>
  <cp:revision>1</cp:revision>
  <dcterms:created xsi:type="dcterms:W3CDTF">2026-10-26T07:01:48.994Z</dcterms:created>
  <dcterms:modified xsi:type="dcterms:W3CDTF">2026-10-26T07:01:48.994Z</dcterms:modified>
</cp:coreProperties>
</file>

<file path=docProps/custom.xml><?xml version="1.0" encoding="utf-8"?>
<Properties xmlns="http://schemas.openxmlformats.org/officeDocument/2006/custom-properties" xmlns:vt="http://schemas.openxmlformats.org/officeDocument/2006/docPropsVTypes"/>
</file>