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1.5 del 18/10/2026.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8</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8">
        <w:r>
          <w:rPr>
            <w:rFonts w:ascii="Arial" w:cs="Arial" w:eastAsia="Arial" w:hAnsi="Arial"/>
            <w:color w:val="1B2118"/>
            <w:sz w:val="22"/>
            <w:szCs w:val="22"/>
          </w:rPr>
          <w:t xml:space="preserve">8.  Consultazione pubblica</w:t>
        </w:r>
        <w:r>
          <w:rPr>
            <w:rFonts w:ascii="Arial" w:cs="Arial" w:eastAsia="Arial" w:hAnsi="Arial"/>
            <w:color w:val="1B2118"/>
            <w:sz w:val="22"/>
            <w:szCs w:val="22"/>
          </w:rPr>
          <w:tab/>
          <w:t xml:space="preserve">12</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14</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15</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16</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17</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18</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19</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ed Enti di Validazione</w:t>
        </w:r>
        <w:r>
          <w:rPr>
            <w:rFonts w:ascii="Arial" w:cs="Arial" w:eastAsia="Arial" w:hAnsi="Arial"/>
            <w:color w:val="1B2118"/>
            <w:sz w:val="22"/>
            <w:szCs w:val="22"/>
          </w:rPr>
          <w:tab/>
          <w:t xml:space="preserve">20</w:t>
        </w:r>
      </w:hyperlink>
    </w:p>
    <w:p>
      <w:pPr>
        <w:tabs>
          <w:tab w:val="right" w:pos="9638" w:leader="dot"/>
        </w:tabs>
        <w:spacing w:after="130"/>
      </w:pPr>
      <w:hyperlink w:history="1" w:anchor="cap16">
        <w:r>
          <w:rPr>
            <w:rFonts w:ascii="Arial" w:cs="Arial" w:eastAsia="Arial" w:hAnsi="Arial"/>
            <w:color w:val="1B2118"/>
            <w:sz w:val="22"/>
            <w:szCs w:val="22"/>
          </w:rPr>
          <w:t xml:space="preserve">16.  Impostazioni: fasi, documenti richiesti e modelli</w:t>
        </w:r>
        <w:r>
          <w:rPr>
            <w:rFonts w:ascii="Arial" w:cs="Arial" w:eastAsia="Arial" w:hAnsi="Arial"/>
            <w:color w:val="1B2118"/>
            <w:sz w:val="22"/>
            <w:szCs w:val="22"/>
          </w:rPr>
          <w:tab/>
          <w:t xml:space="preserve">21</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23</w:t>
        </w:r>
      </w:hyperlink>
    </w:p>
    <w:p>
      <w:pPr>
        <w:tabs>
          <w:tab w:val="right" w:pos="9638" w:leader="dot"/>
        </w:tabs>
        <w:spacing w:after="130"/>
      </w:pPr>
      <w:hyperlink w:history="1" w:anchor="cap18">
        <w:r>
          <w:rPr>
            <w:rFonts w:ascii="Arial" w:cs="Arial" w:eastAsia="Arial" w:hAnsi="Arial"/>
            <w:color w:val="1B2118"/>
            <w:sz w:val="22"/>
            <w:szCs w:val="22"/>
          </w:rPr>
          <w:t xml:space="preserve">18.  Documentazione e manuali</w:t>
        </w:r>
        <w:r>
          <w:rPr>
            <w:rFonts w:ascii="Arial" w:cs="Arial" w:eastAsia="Arial" w:hAnsi="Arial"/>
            <w:color w:val="1B2118"/>
            <w:sz w:val="22"/>
            <w:szCs w:val="22"/>
          </w:rPr>
          <w:tab/>
          <w:t xml:space="preserve">28</w:t>
        </w:r>
      </w:hyperlink>
    </w:p>
    <w:p>
      <w:pPr>
        <w:tabs>
          <w:tab w:val="right" w:pos="9638" w:leader="dot"/>
        </w:tabs>
        <w:spacing w:after="130"/>
      </w:pPr>
      <w:hyperlink w:history="1" w:anchor="cap19">
        <w:r>
          <w:rPr>
            <w:rFonts w:ascii="Arial" w:cs="Arial" w:eastAsia="Arial" w:hAnsi="Arial"/>
            <w:color w:val="1B2118"/>
            <w:sz w:val="22"/>
            <w:szCs w:val="22"/>
          </w:rPr>
          <w:t xml:space="preserve">19.  Manutenzione ed emergenze</w:t>
        </w:r>
        <w:r>
          <w:rPr>
            <w:rFonts w:ascii="Arial" w:cs="Arial" w:eastAsia="Arial" w:hAnsi="Arial"/>
            <w:color w:val="1B2118"/>
            <w:sz w:val="22"/>
            <w:szCs w:val="22"/>
          </w:rPr>
          <w:tab/>
          <w:t xml:space="preserve">29</w:t>
        </w:r>
      </w:hyperlink>
    </w:p>
    <w:p>
      <w:pPr>
        <w:tabs>
          <w:tab w:val="right" w:pos="9638" w:leader="dot"/>
        </w:tabs>
        <w:spacing w:after="130"/>
      </w:pPr>
      <w:hyperlink w:history="1" w:anchor="cap20">
        <w:r>
          <w:rPr>
            <w:rFonts w:ascii="Arial" w:cs="Arial" w:eastAsia="Arial" w:hAnsi="Arial"/>
            <w:color w:val="1B2118"/>
            <w:sz w:val="22"/>
            <w:szCs w:val="22"/>
          </w:rPr>
          <w:t xml:space="preserve">20.  Funzioni in arrivo</w:t>
        </w:r>
        <w:r>
          <w:rPr>
            <w:rFonts w:ascii="Arial" w:cs="Arial" w:eastAsia="Arial" w:hAnsi="Arial"/>
            <w:color w:val="1B2118"/>
            <w:sz w:val="22"/>
            <w:szCs w:val="22"/>
          </w:rPr>
          <w:tab/>
          <w:t xml:space="preserve">30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9"/>
        <w:gridCol w:w="2539"/>
        <w:gridCol w:w="2010"/>
      </w:tblGrid>
      <w:tr>
        <w:trPr>
          <w:tblHeader/>
        </w:trPr>
        <w:tc>
          <w:tcPr>
            <w:tcW w:type="dxa" w:w="50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0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consultazione, pagamenti</w:t>
            </w:r>
          </w:p>
        </w:tc>
        <w:tc>
          <w:tcPr>
            <w:tcW w:type="dxa" w:w="2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ed Enti di Validazione)</w:t>
            </w:r>
          </w:p>
        </w:tc>
        <w:tc>
          <w:tcPr>
            <w:tcW w:type="dxa" w:w="2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(durata delle fasi, documenti richiesti, modelli)</w:t>
            </w:r>
          </w:p>
        </w:tc>
        <w:tc>
          <w:tcPr>
            <w:tcW w:type="dxa" w:w="2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il suo rapporto viene caricato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modifica di una scadenza,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10 anni (requisiti §12).</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_uvuohehl5_lgaprihnwn">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Crediti CWP,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tblHeader/>
        </w:trPr>
        <w:tc>
          <w:tcPr>
            <w:tcW w:type="dxa" w:w="30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6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attive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aperte</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consultazione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5"/>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in qualsiasi momento mentre il Progetto è attivo. Ogni Rapporto ha documenti e pagamenti propri e un percorso di </w:t>
      </w:r>
      <w:r>
        <w:rPr>
          <w:rFonts w:ascii="Arial" w:cs="Arial" w:eastAsia="Arial" w:hAnsi="Arial"/>
          <w:b/>
          <w:bCs/>
          <w:color w:val="1B2118"/>
          <w:sz w:val="21"/>
          <w:szCs w:val="21"/>
        </w:rPr>
        <w:t xml:space="preserve">4 fasi</w:t>
      </w:r>
      <w:r>
        <w:rPr>
          <w:rFonts w:ascii="Arial" w:cs="Arial" w:eastAsia="Arial" w:hAnsi="Arial"/>
          <w:color w:val="1B2118"/>
          <w:sz w:val="21"/>
          <w:szCs w:val="21"/>
        </w:rPr>
        <w:t xml:space="preserve">, senza consultazione pubblica: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44"/>
        <w:gridCol w:w="4794"/>
      </w:tblGrid>
      <w:tr>
        <w:trPr>
          <w:tblHeader/>
        </w:trPr>
        <w:tc>
          <w:tcPr>
            <w:tcW w:type="dxa" w:w="4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47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r>
      <w:tr>
        <w:trPr>
          <w:cantSplit/>
        </w:trPr>
        <w:tc>
          <w:tcPr>
            <w:tcW w:type="dxa" w:w="4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Caricamento del rapporto</w:t>
            </w:r>
          </w:p>
        </w:tc>
        <w:tc>
          <w:tcPr>
            <w:tcW w:type="dxa" w:w="47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r>
      <w:tr>
        <w:trPr>
          <w:cantSplit/>
        </w:trPr>
        <w:tc>
          <w:tcPr>
            <w:tcW w:type="dxa" w:w="4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Verifica documentale</w:t>
            </w:r>
          </w:p>
        </w:tc>
        <w:tc>
          <w:tcPr>
            <w:tcW w:type="dxa" w:w="47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r>
      <w:tr>
        <w:trPr>
          <w:cantSplit/>
        </w:trPr>
        <w:tc>
          <w:tcPr>
            <w:tcW w:type="dxa" w:w="4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Validazione e verifica</w:t>
            </w:r>
          </w:p>
        </w:tc>
        <w:tc>
          <w:tcPr>
            <w:tcW w:type="dxa" w:w="47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r>
      <w:tr>
        <w:trPr>
          <w:cantSplit/>
        </w:trPr>
        <w:tc>
          <w:tcPr>
            <w:tcW w:type="dxa" w:w="4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Chiusura</w:t>
            </w:r>
          </w:p>
        </w:tc>
        <w:tc>
          <w:tcPr>
            <w:tcW w:type="dxa" w:w="47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referente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1537"/>
        <w:gridCol w:w="6252"/>
      </w:tblGrid>
      <w:tr>
        <w:trPr>
          <w:tblHeader/>
        </w:trPr>
        <w:tc>
          <w:tcPr>
            <w:tcW w:type="dxa" w:w="18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15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62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bl>
    <w:p>
      <w:pPr>
        <w:spacing w:after="160"/>
      </w:pP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68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Annulla, Chiudi pratica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6"/>
        </w:numPr>
        <w:spacing w:after="70" w:line="290"/>
      </w:pPr>
      <w:r>
        <w:rPr>
          <w:rFonts w:ascii="Arial" w:cs="Arial" w:eastAsia="Arial" w:hAnsi="Arial"/>
          <w:color w:val="1B2118"/>
          <w:sz w:val="21"/>
          <w:szCs w:val="21"/>
        </w:rPr>
        <w:t xml:space="preserve">Premete il pulsante desiderato.</w:t>
      </w:r>
    </w:p>
    <w:p>
      <w:pPr>
        <w:pStyle w:val="ListParagraph"/>
        <w:numPr>
          <w:ilvl w:val="0"/>
          <w:numId w:val="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o chiusa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Conservazione per 10 anni.</w:t>
      </w:r>
      <w:r>
        <w:rPr>
          <w:rFonts w:ascii="Arial" w:cs="Arial" w:eastAsia="Arial" w:hAnsi="Arial"/>
          <w:color w:val="1B2118"/>
          <w:sz w:val="21"/>
          <w:szCs w:val="21"/>
        </w:rPr>
        <w:t xml:space="preserve"> Nulla si cancella dal portale: pratiche, fasi, documenti, consultazioni, pagamenti e anagrafiche restano. Quando una pratica viene chiusa o annullata,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(10 anni dopo); se la pratica viene riattivata la data sparisce.</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contratto, allegati, documentazione amministrativa).</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Contratto, Allegato al contratto, Documentazione amministrativa, Documento di progetto, Rapporto dell'Ente di Validazione, Integrazione, Altro.</w:t>
      </w:r>
    </w:p>
    <w:p>
      <w:pPr>
        <w:pStyle w:val="ListParagraph"/>
        <w:numPr>
          <w:ilvl w:val="0"/>
          <w:numId w:val="7"/>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consultazione pubblica attiva (vedi «Consultazione pubblica»); la modifica è registrata nell'audit. Il Rapporto di RINA va caricato con tipologia </w:t>
      </w:r>
      <w:r>
        <w:rPr>
          <w:rFonts w:ascii="Arial" w:cs="Arial" w:eastAsia="Arial" w:hAnsi="Arial"/>
          <w:i/>
          <w:iCs/>
          <w:color w:val="1B2118"/>
          <w:sz w:val="21"/>
          <w:szCs w:val="21"/>
        </w:rPr>
        <w:t xml:space="preserve">Rapporto dell'Ente di Validazione</w:t>
      </w:r>
      <w:r>
        <w:rPr>
          <w:rFonts w:ascii="Arial" w:cs="Arial" w:eastAsia="Arial" w:hAnsi="Arial"/>
          <w:color w:val="1B2118"/>
          <w:sz w:val="21"/>
          <w:szCs w:val="21"/>
        </w:rPr>
        <w:t xml:space="preserve">: nel fascicolo esportato finisce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8"/>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8"/>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8"/>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Consultazione pubblica</w:t>
      </w:r>
      <w:bookmarkEnd w:id="1"/>
    </w:p>
    <w:p>
      <w:pPr>
        <w:spacing w:after="140" w:line="300"/>
      </w:pPr>
      <w:r>
        <w:rPr>
          <w:rFonts w:ascii="Arial" w:cs="Arial" w:eastAsia="Arial" w:hAnsi="Arial"/>
          <w:color w:val="1B2118"/>
          <w:sz w:val="21"/>
          <w:szCs w:val="21"/>
        </w:rPr>
        <w:t xml:space="preserve">La consultazione pubblica riguarda solo i Progetti (fase 3) e dura 30 giorni.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aperta a tutti senza credenziali e collegata anche dalla pagina di accesso.</w:t>
      </w:r>
    </w:p>
    <w:p>
      <w:pPr>
        <w:spacing w:after="140" w:line="300"/>
      </w:pPr>
      <w:r>
        <w:rPr>
          <w:rFonts w:ascii="Arial" w:cs="Arial" w:eastAsia="Arial" w:hAnsi="Arial"/>
          <w:b/>
          <w:bCs/>
          <w:color w:val="1B2118"/>
          <w:sz w:val="21"/>
          <w:szCs w:val="21"/>
        </w:rPr>
        <w:t xml:space="preserve">Aprire la consultazione</w:t>
      </w:r>
    </w:p>
    <w:p>
      <w:pPr>
        <w:pStyle w:val="ListParagraph"/>
        <w:numPr>
          <w:ilvl w:val="0"/>
          <w:numId w:val="9"/>
        </w:numPr>
        <w:spacing w:after="70" w:line="290"/>
      </w:pPr>
      <w:r>
        <w:rPr>
          <w:rFonts w:ascii="Arial" w:cs="Arial" w:eastAsia="Arial" w:hAnsi="Arial"/>
          <w:color w:val="1B2118"/>
          <w:sz w:val="21"/>
          <w:szCs w:val="21"/>
        </w:rPr>
        <w:t xml:space="preserve">Caricate prima il documento da sottoporre a consultazione (capitolo «Documenti e visibilità»).</w:t>
      </w:r>
    </w:p>
    <w:p>
      <w:pPr>
        <w:pStyle w:val="ListParagraph"/>
        <w:numPr>
          <w:ilvl w:val="0"/>
          <w:numId w:val="9"/>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Consultazione pubblica</w:t>
      </w:r>
      <w:r>
        <w:rPr>
          <w:rFonts w:ascii="Arial" w:cs="Arial" w:eastAsia="Arial" w:hAnsi="Arial"/>
          <w:color w:val="1B2118"/>
          <w:sz w:val="21"/>
          <w:szCs w:val="21"/>
        </w:rPr>
        <w:t xml:space="preserve"> della pratica scegliete il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consultazione</w:t>
      </w:r>
      <w:r>
        <w:rPr>
          <w:rFonts w:ascii="Arial" w:cs="Arial" w:eastAsia="Arial" w:hAnsi="Arial"/>
          <w:color w:val="1B2118"/>
          <w:sz w:val="21"/>
          <w:szCs w:val="21"/>
        </w:rPr>
        <w:t xml:space="preserve">. Il periodo va da oggi a 30 giorni dopo (date in ora italiana), il Comune riceve la notifica e la consultazione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la consultazione è attiva: non se ne possono cambiare visibilità, tipologia o fase. Per sostituirlo si usa l'errata corrige. C'è una sola consultazione attiva alla volta per Progetto.</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consultazione contiene un errore:</w:t>
      </w:r>
    </w:p>
    <w:p>
      <w:pPr>
        <w:pStyle w:val="ListParagraph"/>
        <w:numPr>
          <w:ilvl w:val="0"/>
          <w:numId w:val="10"/>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0"/>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30 giorni da oggi</w:t>
      </w:r>
      <w:r>
        <w:rPr>
          <w:rFonts w:ascii="Arial" w:cs="Arial" w:eastAsia="Arial" w:hAnsi="Arial"/>
          <w:color w:val="1B2118"/>
          <w:sz w:val="21"/>
          <w:szCs w:val="21"/>
        </w:rPr>
        <w:t xml:space="preserve">: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la consultazione.</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consultazione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una consultazione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 incasso</w:t>
      </w:r>
    </w:p>
    <w:p>
      <w:pPr>
        <w:pStyle w:val="ListParagraph"/>
        <w:numPr>
          <w:ilvl w:val="0"/>
          <w:numId w:val="12"/>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Il portale registra automaticamente chi ha inserito l'incasso, e l'operazione finisce nell'audit.</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consultazioni,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rapporto dell'Ente di Validazione (tipologia </w:t>
            </w:r>
            <w:r>
              <w:rPr>
                <w:rFonts w:ascii="Arial" w:cs="Arial" w:eastAsia="Arial" w:hAnsi="Arial"/>
                <w:i/>
                <w:iCs/>
                <w:color w:val="1B2118"/>
                <w:sz w:val="18"/>
                <w:szCs w:val="18"/>
              </w:rPr>
              <w:t xml:space="preserve">Rapporto dell'Ente di Validazione</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2"/>
        <w:gridCol w:w="5096"/>
      </w:tblGrid>
      <w:tr>
        <w:trPr>
          <w:tblHeader/>
        </w:trPr>
        <w:tc>
          <w:tcPr>
            <w:tcW w:type="dxa" w:w="45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5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consultazione pubblica o esce un'errata corrige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Creare un utente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l'utente non viene creato e compare il motivo: correggete e riprovate.</w:t>
      </w:r>
    </w:p>
    <w:p>
      <w:pPr>
        <w:pStyle w:val="ListParagraph"/>
        <w:numPr>
          <w:ilvl w:val="0"/>
          <w:numId w:val="13"/>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4"/>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4"/>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4"/>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cambi di stato della pratica, caricamenti di documenti con la versione, modifiche di visibilità, apertura e chiusura della consultazione, moderazione delle osservazioni, richieste e chiusure di integrazione, incassi,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ed Enti di Validazione</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le sue pratiche.</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che validano i Progetti (ad esempio RINA). Gli enti non accedono al portale. Sotto ogni ente compaiono le pratiche a cui è assegnato.</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 fasi, documenti richiesti e modelli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quattro sezioni: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1"/>
        <w:gridCol w:w="3096"/>
        <w:gridCol w:w="2451"/>
      </w:tblGrid>
      <w:tr>
        <w:trPr>
          <w:tblHeader/>
        </w:trPr>
        <w:tc>
          <w:tcPr>
            <w:tcW w:type="dxa" w:w="40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3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4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Consultazione pubblica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r>
    </w:tbl>
    <w:p>
      <w:pPr>
        <w:spacing w:after="160"/>
      </w:pPr>
    </w:p>
    <w:p>
      <w:pPr>
        <w:spacing w:after="140" w:line="300"/>
      </w:pPr>
      <w:r>
        <w:rPr>
          <w:rFonts w:ascii="Arial" w:cs="Arial" w:eastAsia="Arial" w:hAnsi="Arial"/>
          <w:color w:val="1B2118"/>
          <w:sz w:val="21"/>
          <w:szCs w:val="21"/>
        </w:rPr>
        <w:t xml:space="preserve">Le durate iniziali del Rapporto sono nel capitolo «Pratiche».</w:t>
      </w:r>
    </w:p>
    <w:p>
      <w:pPr>
        <w:spacing w:after="140" w:line="300"/>
      </w:pPr>
      <w:r>
        <w:rPr>
          <w:rFonts w:ascii="Arial" w:cs="Arial" w:eastAsia="Arial" w:hAnsi="Arial"/>
          <w:b/>
          <w:bCs/>
          <w:color w:val="1B2118"/>
          <w:sz w:val="21"/>
          <w:szCs w:val="21"/>
        </w:rPr>
        <w:t xml:space="preserve">Modificare una durata</w:t>
      </w:r>
    </w:p>
    <w:p>
      <w:pPr>
        <w:pStyle w:val="ListParagraph"/>
        <w:numPr>
          <w:ilvl w:val="0"/>
          <w:numId w:val="17"/>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1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1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18"/>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19"/>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dal 30% in giù (Tabelle 15 e 16)</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0"/>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1"/>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parte dal 30% e si riduce in base a come il Comune misura i conferimenti: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w:t>
      </w:r>
    </w:p>
    <w:p>
      <w:pPr>
        <w:pStyle w:val="ListParagraph"/>
        <w:numPr>
          <w:ilvl w:val="0"/>
          <w:numId w:val="2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spacing w:after="140" w:line="300"/>
      </w:pPr>
      <w:r>
        <w:rPr>
          <w:rFonts w:ascii="Arial" w:cs="Arial" w:eastAsia="Arial" w:hAnsi="Arial"/>
          <w:b/>
          <w:bCs/>
          <w:color w:val="1B2118"/>
          <w:sz w:val="21"/>
          <w:szCs w:val="21"/>
        </w:rPr>
        <w:t xml:space="preserve">Da completare.</w:t>
      </w:r>
      <w:r>
        <w:rPr>
          <w:rFonts w:ascii="Arial" w:cs="Arial" w:eastAsia="Arial" w:hAnsi="Arial"/>
          <w:color w:val="1B2118"/>
          <w:sz w:val="21"/>
          <w:szCs w:val="21"/>
        </w:rPr>
        <w:t xml:space="preserve"> Le regole dello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 della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per emissione, trasferimento e annullamento dei crediti verranno aggiunte al registro quando i documenti saranno disponibili.</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regole del registro previste dallo Standard CWP (emissione, trasferimento, annullamento dei crediti).</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1.5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1.5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_uvuohehl5_lgaprihnwn"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1.5)</dc:title>
  <dc:creator>Fondazione Operate</dc:creator>
  <cp:lastModifiedBy>Un-named</cp:lastModifiedBy>
  <cp:revision>1</cp:revision>
  <dcterms:created xsi:type="dcterms:W3CDTF">2026-10-18T15:30:06.500Z</dcterms:created>
  <dcterms:modified xsi:type="dcterms:W3CDTF">2026-10-18T15:30:06.500Z</dcterms:modified>
</cp:coreProperties>
</file>

<file path=docProps/custom.xml><?xml version="1.0" encoding="utf-8"?>
<Properties xmlns="http://schemas.openxmlformats.org/officeDocument/2006/custom-properties" xmlns:vt="http://schemas.openxmlformats.org/officeDocument/2006/docPropsVTypes"/>
</file>