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2.0</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18/10/2026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dai requisiti (script 21): Rapporti a 4 fasi, documenti richiesti, anagrafiche per lo staff, consultazione bloccata e numerata, conservazione 10 anni, fascicolo completo; funzione consultazione-pubblica ripubblicata.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20 (rinforzi di integrità, ora italiana nel database), funzioni crea-utente e consultazione-pubblica ripubblicate, punto 33 completato; decisione sull'audit.</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2.0 del 18/10/2026.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4</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5</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8</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9</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13</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14</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18/10/2026)</w:t>
        </w:r>
        <w:r>
          <w:rPr>
            <w:rFonts w:ascii="Arial" w:cs="Arial" w:eastAsia="Arial" w:hAnsi="Arial"/>
            <w:color w:val="1B2118"/>
            <w:sz w:val="22"/>
            <w:szCs w:val="22"/>
          </w:rPr>
          <w:tab/>
          <w:t xml:space="preserve">16</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17</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18</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23</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24</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25</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28</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29</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39</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la Banca Dati Utenze deve contenere solo codici anonimi (import bloccato altrimenti);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Con la password temporanea anche il database non riconosce ruolo e organizzazioni (script 20): finché non la cambia, l'utente non vede né scrive dati, qualunque cosa faccia il browser.</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1"/>
        <w:gridCol w:w="2465"/>
        <w:gridCol w:w="1260"/>
        <w:gridCol w:w="2477"/>
        <w:gridCol w:w="2465"/>
      </w:tblGrid>
      <w:tr>
        <w:trPr>
          <w:tblHeader/>
        </w:trPr>
        <w:tc>
          <w:tcPr>
            <w:tcW w:type="dxa" w:w="9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24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4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4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9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9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9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9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4016"/>
        <w:gridCol w:w="2409"/>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0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24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20_rinforzi_integrita.sql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italiana nel database (</w:t>
            </w:r>
            <w:r>
              <w:rPr>
                <w:rFonts w:ascii="Consolas" w:cs="Consolas" w:eastAsia="Consolas" w:hAnsi="Consolas"/>
                <w:color w:val="2F5D3A"/>
                <w:sz w:val="18"/>
                <w:szCs w:val="18"/>
              </w:rPr>
              <w:t xml:space="preserve">timezone = Europe/Rome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(pratica e 7 fasi insieme); </w:t>
            </w:r>
            <w:r>
              <w:rPr>
                <w:rFonts w:ascii="Consolas" w:cs="Consolas" w:eastAsia="Consolas" w:hAnsi="Consolas"/>
                <w:color w:val="2F5D3A"/>
                <w:sz w:val="18"/>
                <w:szCs w:val="18"/>
              </w:rPr>
              <w:t xml:space="preserve">admin_aggiorna_utente_completo</w:t>
            </w:r>
            <w:r>
              <w:rPr>
                <w:rFonts w:ascii="Arial" w:cs="Arial" w:eastAsia="Arial" w:hAnsi="Arial"/>
                <w:color w:val="1B2118"/>
                <w:sz w:val="18"/>
                <w:szCs w:val="18"/>
              </w:rPr>
              <w:t xml:space="preserve"> (ruolo e organizzazioni insieme); calcolo crediti: trigger </w:t>
            </w:r>
            <w:r>
              <w:rPr>
                <w:rFonts w:ascii="Consolas" w:cs="Consolas" w:eastAsia="Consolas" w:hAnsi="Consolas"/>
                <w:color w:val="2F5D3A"/>
                <w:sz w:val="18"/>
                <w:szCs w:val="18"/>
              </w:rPr>
              <w:t xml:space="preserve">trg_calcolo_coerenza</w:t>
            </w:r>
            <w:r>
              <w:rPr>
                <w:rFonts w:ascii="Arial" w:cs="Arial" w:eastAsia="Arial" w:hAnsi="Arial"/>
                <w:color w:val="1B2118"/>
                <w:sz w:val="18"/>
                <w:szCs w:val="18"/>
              </w:rPr>
              <w:t xml:space="preserve"> (risultato azzerato se cambiano i dati, controllo delle righe della Banca Dati alla conferma) e </w:t>
            </w:r>
            <w:r>
              <w:rPr>
                <w:rFonts w:ascii="Consolas" w:cs="Consolas" w:eastAsia="Consolas" w:hAnsi="Consolas"/>
                <w:color w:val="2F5D3A"/>
                <w:sz w:val="18"/>
                <w:szCs w:val="18"/>
              </w:rPr>
              <w:t xml:space="preserve">trg_*_bdu_*</w:t>
            </w:r>
            <w:r>
              <w:rPr>
                <w:rFonts w:ascii="Arial" w:cs="Arial" w:eastAsia="Arial" w:hAnsi="Arial"/>
                <w:color w:val="1B2118"/>
                <w:sz w:val="18"/>
                <w:szCs w:val="18"/>
              </w:rPr>
              <w:t xml:space="preserve"> (risultato azzerato se cambia la Banca Dati),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password temporanea: </w:t>
            </w:r>
            <w:r>
              <w:rPr>
                <w:rFonts w:ascii="Consolas" w:cs="Consolas" w:eastAsia="Consolas" w:hAnsi="Consolas"/>
                <w:color w:val="2F5D3A"/>
                <w:sz w:val="18"/>
                <w:szCs w:val="18"/>
              </w:rPr>
              <w:t xml:space="preserve">app_ruolo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app_org_mia</w:t>
            </w:r>
            <w:r>
              <w:rPr>
                <w:rFonts w:ascii="Arial" w:cs="Arial" w:eastAsia="Arial" w:hAnsi="Arial"/>
                <w:color w:val="1B2118"/>
                <w:sz w:val="18"/>
                <w:szCs w:val="18"/>
              </w:rPr>
              <w:t xml:space="preserve"> non riconoscono chi deve ancora cambiarla</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21_completamento_funzionale.sql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Rapporti con 4 fasi (</w:t>
            </w:r>
            <w:r>
              <w:rPr>
                <w:rFonts w:ascii="Consolas" w:cs="Consolas" w:eastAsia="Consolas" w:hAnsi="Consolas"/>
                <w:color w:val="2F5D3A"/>
                <w:sz w:val="18"/>
                <w:szCs w:val="18"/>
              </w:rPr>
              <w:t xml:space="preserve">durata_fase.tipo_pratica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cwp_numero_fasi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cwp_durata_fase(tipo, numero)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admin_imposta_durata_fase</w:t>
            </w:r>
            <w:r>
              <w:rPr>
                <w:rFonts w:ascii="Arial" w:cs="Arial" w:eastAsia="Arial" w:hAnsi="Arial"/>
                <w:color w:val="1B2118"/>
                <w:sz w:val="18"/>
                <w:szCs w:val="18"/>
              </w:rPr>
              <w:t xml:space="preserve"> per tipo,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con 7 o 4 fasi, </w:t>
            </w:r>
            <w:r>
              <w:rPr>
                <w:rFonts w:ascii="Consolas" w:cs="Consolas" w:eastAsia="Consolas" w:hAnsi="Consolas"/>
                <w:color w:val="2F5D3A"/>
                <w:sz w:val="18"/>
                <w:szCs w:val="18"/>
              </w:rPr>
              <w:t xml:space="preserve">modello_documento.tipo_pratica</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documento_richiesto</w:t>
            </w:r>
            <w:r>
              <w:rPr>
                <w:rFonts w:ascii="Arial" w:cs="Arial" w:eastAsia="Arial" w:hAnsi="Arial"/>
                <w:color w:val="1B2118"/>
                <w:sz w:val="18"/>
                <w:szCs w:val="18"/>
              </w:rPr>
              <w:t xml:space="preserve">; Organizzazioni ed Enti scrivibili dallo staff (niente cancellazioni); consultazione: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r>
              <w:rPr>
                <w:rFonts w:ascii="Arial" w:cs="Arial" w:eastAsia="Arial" w:hAnsi="Arial"/>
                <w:color w:val="1B2118"/>
                <w:sz w:val="18"/>
                <w:szCs w:val="18"/>
              </w:rPr>
              <w:t xml:space="preserve">, documento bloccato (</w:t>
            </w:r>
            <w:r>
              <w:rPr>
                <w:rFonts w:ascii="Consolas" w:cs="Consolas" w:eastAsia="Consolas" w:hAnsi="Consolas"/>
                <w:color w:val="2F5D3A"/>
                <w:sz w:val="18"/>
                <w:szCs w:val="18"/>
              </w:rPr>
              <w:t xml:space="preserve">trg_documento_bloccato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commento.numero</w:t>
            </w:r>
            <w:r>
              <w:rPr>
                <w:rFonts w:ascii="Arial" w:cs="Arial" w:eastAsia="Arial" w:hAnsi="Arial"/>
                <w:color w:val="1B2118"/>
                <w:sz w:val="18"/>
                <w:szCs w:val="18"/>
              </w:rPr>
              <w:t xml:space="preserve">; conservazione: nessuna cancellazione o modifica diretta di pratiche, fasi, integrazioni, consultazioni, pagamenti, file; </w:t>
            </w:r>
            <w:r>
              <w:rPr>
                <w:rFonts w:ascii="Consolas" w:cs="Consolas" w:eastAsia="Consolas" w:hAnsi="Consolas"/>
                <w:color w:val="2F5D3A"/>
                <w:sz w:val="18"/>
                <w:szCs w:val="18"/>
              </w:rPr>
              <w:t xml:space="preserve">pratica.conservare_fino_al</w:t>
            </w:r>
            <w:r>
              <w:rPr>
                <w:rFonts w:ascii="Arial" w:cs="Arial" w:eastAsia="Arial" w:hAnsi="Arial"/>
                <w:color w:val="1B2118"/>
                <w:sz w:val="18"/>
                <w:szCs w:val="18"/>
              </w:rPr>
              <w:t xml:space="preserve">; il Comune carica solo nelle fasi aperte (</w:t>
            </w:r>
            <w:r>
              <w:rPr>
                <w:rFonts w:ascii="Consolas" w:cs="Consolas" w:eastAsia="Consolas" w:hAnsi="Consolas"/>
                <w:color w:val="2F5D3A"/>
                <w:sz w:val="18"/>
                <w:szCs w:val="18"/>
              </w:rPr>
              <w:t xml:space="preserve">fase_aperta</w:t>
            </w:r>
            <w:r>
              <w:rPr>
                <w:rFonts w:ascii="Arial" w:cs="Arial" w:eastAsia="Arial" w:hAnsi="Arial"/>
                <w:color w:val="1B2118"/>
                <w:sz w:val="18"/>
                <w:szCs w:val="18"/>
              </w:rPr>
              <w:t xml:space="preserve">, policy </w:t>
            </w:r>
            <w:r>
              <w:rPr>
                <w:rFonts w:ascii="Consolas" w:cs="Consolas" w:eastAsia="Consolas" w:hAnsi="Consolas"/>
                <w:color w:val="2F5D3A"/>
                <w:sz w:val="18"/>
                <w:szCs w:val="18"/>
              </w:rPr>
              <w:t xml:space="preserve">doc_insert</w:t>
            </w:r>
            <w:r>
              <w:rPr>
                <w:rFonts w:ascii="Arial" w:cs="Arial" w:eastAsia="Arial" w:hAnsi="Arial"/>
                <w:color w:val="1B2118"/>
                <w:sz w:val="18"/>
                <w:szCs w:val="18"/>
              </w:rPr>
              <w:t xml:space="preserve">); notifiche di apertura della fase 1 e di osservazione ammessa; audit dei documenti richiesti</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 documento_richiesto.</w:t>
      </w:r>
    </w:p>
    <w:p>
      <w:pPr>
        <w:spacing w:after="140" w:line="300"/>
      </w:pPr>
      <w:r>
        <w:rPr>
          <w:rFonts w:ascii="Arial" w:cs="Arial" w:eastAsia="Arial" w:hAnsi="Arial"/>
          <w:b/>
          <w:bCs/>
          <w:color w:val="1B2118"/>
          <w:sz w:val="21"/>
          <w:szCs w:val="21"/>
        </w:rPr>
        <w:t xml:space="preserve">Conservazione (script 21)</w:t>
      </w:r>
      <w:r>
        <w:rPr>
          <w:rFonts w:ascii="Arial" w:cs="Arial" w:eastAsia="Arial" w:hAnsi="Arial"/>
          <w:color w:val="1B2118"/>
          <w:sz w:val="21"/>
          <w:szCs w:val="21"/>
        </w:rPr>
        <w:t xml:space="preserve">: nessuna regola consente di cancellare pratiche, fasi, documenti, integrazioni, consultazioni, osservazioni, pagamenti, organizzazioni, enti o file dei documenti (si cancella solo un file rimasto orfano); pratiche e fasi si modificano solo con le funzioni che chiedono la motivazione. Alla chiusura o all'annullamento la pratica riceve </w:t>
      </w:r>
      <w:r>
        <w:rPr>
          <w:rFonts w:ascii="Consolas" w:cs="Consolas" w:eastAsia="Consolas" w:hAnsi="Consolas"/>
          <w:color w:val="2F5D3A"/>
          <w:sz w:val="21"/>
          <w:szCs w:val="21"/>
        </w:rPr>
        <w:t xml:space="preserve">conservare_fino_al</w:t>
      </w:r>
      <w:r>
        <w:rPr>
          <w:rFonts w:ascii="Arial" w:cs="Arial" w:eastAsia="Arial" w:hAnsi="Arial"/>
          <w:color w:val="1B2118"/>
          <w:sz w:val="21"/>
          <w:szCs w:val="21"/>
        </w:rPr>
        <w:t xml:space="preserve"> = oggi + 10 anni.</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staff_crea_pratica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staff_apri_consultazione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admin_nuova_versione_calcolo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527"/>
        <w:gridCol w:w="3101"/>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352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310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35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 (07:00 in Italia con l'ora legale, 06:00 con l'ora solare)</w:t>
            </w:r>
          </w:p>
        </w:tc>
        <w:tc>
          <w:tcPr>
            <w:tcW w:type="dxa" w:w="310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35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310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bl>
    <w:p>
      <w:pPr>
        <w:spacing w:after="160"/>
      </w:pPr>
    </w:p>
    <w:p>
      <w:pPr>
        <w:spacing w:after="140" w:line="300"/>
      </w:pPr>
      <w:r>
        <w:rPr>
          <w:rFonts w:ascii="Arial" w:cs="Arial" w:eastAsia="Arial" w:hAnsi="Arial"/>
          <w:b/>
          <w:bCs/>
          <w:color w:val="1B2118"/>
          <w:sz w:val="21"/>
          <w:szCs w:val="21"/>
        </w:rPr>
        <w:t xml:space="preserve">Fuso orario</w:t>
      </w:r>
      <w:r>
        <w:rPr>
          <w:rFonts w:ascii="Arial" w:cs="Arial" w:eastAsia="Arial" w:hAnsi="Arial"/>
          <w:color w:val="1B2118"/>
          <w:sz w:val="21"/>
          <w:szCs w:val="21"/>
        </w:rPr>
        <w:t xml:space="preserve">: dal 18/10 (script 20) il database lavora in ora italiana (</w:t>
      </w:r>
      <w:r>
        <w:rPr>
          <w:rFonts w:ascii="Consolas" w:cs="Consolas" w:eastAsia="Consolas" w:hAnsi="Consolas"/>
          <w:color w:val="2F5D3A"/>
          <w:sz w:val="21"/>
          <w:szCs w:val="21"/>
        </w:rPr>
        <w:t xml:space="preserve">Europe/Rome</w:t>
      </w:r>
      <w:r>
        <w:rPr>
          <w:rFonts w:ascii="Arial" w:cs="Arial" w:eastAsia="Arial" w:hAnsi="Arial"/>
          <w:color w:val="1B2118"/>
          <w:sz w:val="21"/>
          <w:szCs w:val="21"/>
        </w:rPr>
        <w:t xml:space="preserve">, impostazione del database): «oggi» per scadenze di fasi, consultazioni e pagamenti è la data italiana. Il portale (</w:t>
      </w:r>
      <w:r>
        <w:rPr>
          <w:rFonts w:ascii="Consolas" w:cs="Consolas" w:eastAsia="Consolas" w:hAnsi="Consolas"/>
          <w:color w:val="2F5D3A"/>
          <w:sz w:val="21"/>
          <w:szCs w:val="21"/>
        </w:rPr>
        <w:t xml:space="preserve">oggiItalia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e 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usano la stessa data. Gli orari di pg_cron restano in UTC.</w:t>
      </w: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81"/>
        <w:gridCol w:w="2754"/>
        <w:gridCol w:w="2152"/>
        <w:gridCol w:w="2151"/>
      </w:tblGrid>
      <w:tr>
        <w:trPr>
          <w:tblHeader/>
        </w:trPr>
        <w:tc>
          <w:tcPr>
            <w:tcW w:type="dxa" w:w="258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1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15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5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tutte le sue organizzazioni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con il token dell'Admin); se un passo fallisce l'account appena creato viene eliminato</w:t>
            </w:r>
          </w:p>
        </w:tc>
        <w:tc>
          <w:tcPr>
            <w:tcW w:type="dxa" w:w="21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password temporanea di almeno 10 caratteri con lettere e numeri; niente creazione di Admin</w:t>
            </w:r>
          </w:p>
        </w:tc>
        <w:tc>
          <w:tcPr>
            <w:tcW w:type="dxa" w:w="21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18/10 (script 20); Verify JWT attivo</w:t>
            </w:r>
          </w:p>
        </w:tc>
      </w:tr>
      <w:tr>
        <w:trPr>
          <w:cantSplit/>
        </w:trPr>
        <w:tc>
          <w:tcPr>
            <w:tcW w:type="dxa" w:w="25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w:t>
            </w:r>
          </w:p>
        </w:tc>
        <w:tc>
          <w:tcPr>
            <w:tcW w:type="dxa" w:w="21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1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w:t>
            </w:r>
          </w:p>
        </w:tc>
      </w:tr>
      <w:tr>
        <w:trPr>
          <w:cantSplit/>
        </w:trPr>
        <w:tc>
          <w:tcPr>
            <w:tcW w:type="dxa" w:w="25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della consultazione (data di «oggi» in ora italiana dal 18/10; numero delle osservazioni dallo script 21, ripubblicata il 18/10):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1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1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5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1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1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5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1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1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ed export fascicolo).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4787"/>
        <w:gridCol w:w="1716"/>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478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17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47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47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47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47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47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Consultazioni pubbliche: elenco, documento e osservazioni, invio con conferma dell'email</w:t>
            </w:r>
          </w:p>
        </w:tc>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47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47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(staff) oppure Le mie pratiche (cliente)</w:t>
            </w:r>
          </w:p>
        </w:tc>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47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/anagrafiche</w:t>
            </w:r>
          </w:p>
        </w:tc>
        <w:tc>
          <w:tcPr>
            <w:tcW w:type="dxa" w:w="47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ed Enti di Validazione, con le pratiche collegate</w:t>
            </w:r>
          </w:p>
        </w:tc>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47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47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47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47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47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(Progetto e Rapporto), documenti richiesti per fase, modelli di documento</w:t>
            </w:r>
          </w:p>
        </w:tc>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47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Manuale Utente (PDF; Word solo Admin), Manuale Amministratore e Registro (solo Admin)</w:t>
            </w:r>
          </w:p>
        </w:tc>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impostazioni/{DurateFasi,DocumentiRichiesti,EntiValidazione,ModelliDocumento}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crediti/{ImportaTracciato,RegistroCrediti,TabellaDati}</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e </w:t>
      </w:r>
      <w:r>
        <w:rPr>
          <w:rFonts w:ascii="Consolas" w:cs="Consolas" w:eastAsia="Consolas" w:hAnsi="Consolas"/>
          <w:color w:val="2F5D3A"/>
          <w:sz w:val="21"/>
          <w:szCs w:val="21"/>
        </w:rPr>
        <w:t xml:space="preserve">fascicoloPdf.js</w:t>
      </w:r>
      <w:r>
        <w:rPr>
          <w:rFonts w:ascii="Arial" w:cs="Arial" w:eastAsia="Arial" w:hAnsi="Arial"/>
          <w:color w:val="1B2118"/>
          <w:sz w:val="21"/>
          <w:szCs w:val="21"/>
        </w:rPr>
        <w:t xml:space="preserve"> (riepilogo PDF del fascicolo),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w:t>
      </w:r>
      <w:r>
        <w:rPr>
          <w:rFonts w:ascii="Consolas" w:cs="Consolas" w:eastAsia="Consolas" w:hAnsi="Consolas"/>
          <w:color w:val="2F5D3A"/>
          <w:sz w:val="21"/>
          <w:szCs w:val="21"/>
        </w:rPr>
        <w:t xml:space="preserve">crediti/{parametri,calcolo,archivio}.js</w:t>
      </w:r>
      <w:r>
        <w:rPr>
          <w:rFonts w:ascii="Arial" w:cs="Arial" w:eastAsia="Arial" w:hAnsi="Arial"/>
          <w:color w:val="1B2118"/>
          <w:sz w:val="21"/>
          <w:szCs w:val="21"/>
        </w:rPr>
        <w:t xml:space="preserve"> (motore di calcolo).</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e dell'import del tracciato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18/10/2026)</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43"/>
        <w:gridCol w:w="1510"/>
        <w:gridCol w:w="5685"/>
      </w:tblGrid>
      <w:tr>
        <w:trPr>
          <w:tblHeader/>
        </w:trPr>
        <w:tc>
          <w:tcPr>
            <w:tcW w:type="dxa" w:w="24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15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56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4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1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4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(§3)</w:t>
            </w:r>
          </w:p>
        </w:tc>
        <w:tc>
          <w:tcPr>
            <w:tcW w:type="dxa" w:w="1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ed Enti di Validazione censiti da Operatori e Admin, con le pratiche collegate</w:t>
            </w:r>
          </w:p>
        </w:tc>
      </w:tr>
      <w:tr>
        <w:trPr>
          <w:cantSplit/>
        </w:trPr>
        <w:tc>
          <w:tcPr>
            <w:tcW w:type="dxa" w:w="24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1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(7 fasi) e Rapporti di Monitoraggio annuali (4 fasi, senza consultazione), codice automatico, stati attiva/sospesa/annullata/chiusa con motivazione</w:t>
            </w:r>
          </w:p>
        </w:tc>
      </w:tr>
      <w:tr>
        <w:trPr>
          <w:cantSplit/>
        </w:trPr>
        <w:tc>
          <w:tcPr>
            <w:tcW w:type="dxa" w:w="24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1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con scadenza automatica, chiusura, modifica scadenza; durate per Progetto e Rapporto modificabili dall'Admin; note di fase interne o condivise; documenti richiesti per fase (indicatore); il Comune carica solo nelle fasi aperte</w:t>
            </w:r>
          </w:p>
        </w:tc>
      </w:tr>
      <w:tr>
        <w:trPr>
          <w:cantSplit/>
        </w:trPr>
        <w:tc>
          <w:tcPr>
            <w:tcW w:type="dxa" w:w="24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1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5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limite 50 MB, formati ammessi, controllo contenuto</w:t>
            </w:r>
          </w:p>
        </w:tc>
      </w:tr>
      <w:tr>
        <w:trPr>
          <w:cantSplit/>
        </w:trPr>
        <w:tc>
          <w:tcPr>
            <w:tcW w:type="dxa" w:w="24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1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4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 (§6)</w:t>
            </w:r>
          </w:p>
        </w:tc>
        <w:tc>
          <w:tcPr>
            <w:tcW w:type="dxa" w:w="1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pubblica, documento pubblicato e bloccato, osservazioni numerate con email confermata e allegato, moderazione con motivazione facoltativa, firma «Partecipante» o nome a scelta dell'autore, risposte del Comune, errata corrige con ripartenza facoltativa dei 30 giorni</w:t>
            </w:r>
          </w:p>
        </w:tc>
      </w:tr>
      <w:tr>
        <w:trPr>
          <w:cantSplit/>
        </w:trPr>
        <w:tc>
          <w:tcPr>
            <w:tcW w:type="dxa" w:w="24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1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incassi, operatore registrato e mostrato allo staff; visibili al Comune in sola lettura</w:t>
            </w:r>
          </w:p>
        </w:tc>
      </w:tr>
      <w:tr>
        <w:trPr>
          <w:cantSplit/>
        </w:trPr>
        <w:tc>
          <w:tcPr>
            <w:tcW w:type="dxa" w:w="24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1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ricerca, azioni con motivazione</w:t>
            </w:r>
          </w:p>
        </w:tc>
      </w:tr>
      <w:tr>
        <w:trPr>
          <w:cantSplit/>
        </w:trPr>
        <w:tc>
          <w:tcPr>
            <w:tcW w:type="dxa" w:w="24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1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4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1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w:t>
            </w:r>
          </w:p>
        </w:tc>
      </w:tr>
      <w:tr>
        <w:trPr>
          <w:cantSplit/>
        </w:trPr>
        <w:tc>
          <w:tcPr>
            <w:tcW w:type="dxa" w:w="24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1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documenti, validazione, consultazioni con allegati ed errata corrige, note, messaggi, pagamenti e audit con i nomi</w:t>
            </w:r>
          </w:p>
        </w:tc>
      </w:tr>
      <w:tr>
        <w:trPr>
          <w:cantSplit/>
        </w:trPr>
        <w:tc>
          <w:tcPr>
            <w:tcW w:type="dxa" w:w="24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Conservazione (§12)</w:t>
            </w:r>
          </w:p>
        </w:tc>
        <w:tc>
          <w:tcPr>
            <w:tcW w:type="dxa" w:w="1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(parte tecnica)</w:t>
            </w:r>
          </w:p>
        </w:tc>
        <w:tc>
          <w:tcPr>
            <w:tcW w:type="dxa" w:w="5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cancellazione; data di conservazione a 10 anni; la procedura di cancellazione a fine periodo la definirà la Fondazione</w:t>
            </w:r>
          </w:p>
        </w:tc>
      </w:tr>
      <w:tr>
        <w:trPr>
          <w:cantSplit/>
        </w:trPr>
        <w:tc>
          <w:tcPr>
            <w:tcW w:type="dxa" w:w="24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1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5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calcoli confermati immutabili con numero di registro; rapporto PDF; registro dei crediti (manca la parte prevista dallo Standard CWP)</w:t>
            </w:r>
          </w:p>
        </w:tc>
      </w:tr>
      <w:tr>
        <w:trPr>
          <w:cantSplit/>
        </w:trPr>
        <w:tc>
          <w:tcPr>
            <w:tcW w:type="dxa" w:w="24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1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audit, impostazioni: durata fasi, documenti richiesti, modelli di documento</w:t>
            </w:r>
          </w:p>
        </w:tc>
      </w:tr>
      <w:tr>
        <w:trPr>
          <w:cantSplit/>
        </w:trPr>
        <w:tc>
          <w:tcPr>
            <w:tcW w:type="dxa" w:w="24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1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5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mancano registro di sicurezza, antivirus, ambiente di prova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Completamento funzionale dal confronto con i requisiti (punto 34)</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21_completamento_funzionale.sql</w:t>
      </w:r>
      <w:r>
        <w:rPr>
          <w:rFonts w:ascii="Arial" w:cs="Arial" w:eastAsia="Arial" w:hAnsi="Arial"/>
          <w:color w:val="1B2118"/>
          <w:sz w:val="21"/>
          <w:szCs w:val="21"/>
        </w:rPr>
        <w:t xml:space="preserve"> (provato sul banco locale, eseguito e verificato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portale. Novità: Rapporti di Monitoraggio con 4 fasi e durate proprie; documenti richiesti per fase con indicatore presente / manca (il Comune sceglie la tipologia quando carica);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per Operatori e Admin (Organizzazioni con dati fiscali e pratiche, Enti di Validazione con le pratiche assegnate); consultazione aperta e chiusa da funzioni del database, documento pubblicato e bloccato fino alla chiusura, osservazioni numerate, motivazione della non pubblicazione scritta dal moderatore, notifica al Comune per le osservazioni ammesse; conservazione per 10 anni (nessuna cancellazione, data di conservazione sulle pratiche chiuse o annullate); il Comune carica solo nelle fasi aperte; operatore mostrato nei pagamenti; notifica di apertura della fase 1; fascicolo con riepilogo PDF, cartella Validazione, contratto del Progetto nei Rapporti, tutte le consultazioni con errata corrige e allegati, note di fase, messaggi, nomi nello storico. Le Impostazioni sono state divise in componenti (</w:t>
      </w:r>
      <w:r>
        <w:rPr>
          <w:rFonts w:ascii="Consolas" w:cs="Consolas" w:eastAsia="Consolas" w:hAnsi="Consolas"/>
          <w:color w:val="2F5D3A"/>
          <w:sz w:val="21"/>
          <w:szCs w:val="21"/>
        </w:rPr>
        <w:t xml:space="preserve">DurateFasi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DocumentiRichiesti</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Rinforzi di integrità (punto 33)</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20_rinforzi_integrita.sql</w:t>
      </w:r>
      <w:r>
        <w:rPr>
          <w:rFonts w:ascii="Arial" w:cs="Arial" w:eastAsia="Arial" w:hAnsi="Arial"/>
          <w:color w:val="1B2118"/>
          <w:sz w:val="21"/>
          <w:szCs w:val="21"/>
        </w:rPr>
        <w:t xml:space="preserve"> (provato sul banco locale, eseguito e verificato in produzione), portale e Edge Functions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ripubblicate. Cosa cambia: (1) il database ragiona in ora italiana, come il portale e la pagina pubblica della consultazione (prima, tra mezzanotte e le 2, «oggi» era ancora il giorno prima); (2) una nuova pratica nasce con le 7 fasi in un'unica operazione; (3) ruolo e organizzazioni di un utente si salvano insieme; la creazione di un utente imposta tutte le organizzazioni e, se qualcosa fallisce, l'account non resta a metà; la password temporanea scritta a mano deve avere 10 caratteri con lettere e numeri; (4) calcolo dei crediti: </w:t>
      </w:r>
      <w:r>
        <w:rPr>
          <w:rFonts w:ascii="Arial" w:cs="Arial" w:eastAsia="Arial" w:hAnsi="Arial"/>
          <w:b/>
          <w:bCs/>
          <w:color w:val="1B2118"/>
          <w:sz w:val="21"/>
          <w:szCs w:val="21"/>
        </w:rPr>
        <w:t xml:space="preserve">corretto un difetto</w:t>
      </w:r>
      <w:r>
        <w:rPr>
          <w:rFonts w:ascii="Arial" w:cs="Arial" w:eastAsia="Arial" w:hAnsi="Arial"/>
          <w:color w:val="1B2118"/>
          <w:sz w:val="21"/>
          <w:szCs w:val="21"/>
        </w:rPr>
        <w:t xml:space="preserve"> per cui si potevano salvare dati nuovi e confermare il risultato calcolato su quelli vecchi; ora ogni modifica dei dati o della Banca Dati Utenze azzera il risultato salvato, la conferma richiede che le righe salvate siano quelle usate nel calcolo e la nuova versione si crea nel database in un'unica operazione; (5) chi ha una password temporanea non vede né scrive dati finché non la cambia (prima lo imponeva solo l'interfaccia). Rimossi i componenti del prototipo non usati. Decisione di Luca: l'audit resta leggibile da tutto lo staff. Il limite di 10 Rapporti era già garantito dal database (segnalazione del 18/10 errata). Effetto pratico: i calcoli in bozza calcolati prima di oggi vanno ricalcolati («Calcola») prima della conferma.</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4"/>
        <w:gridCol w:w="3442"/>
        <w:gridCol w:w="3442"/>
      </w:tblGrid>
      <w:tr>
        <w:trPr>
          <w:tblHeader/>
        </w:trPr>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baoa-2gl84tr0lw2ie9w_">
              <w:r>
                <w:rPr>
                  <w:rFonts w:ascii="Arial" w:cs="Arial" w:eastAsia="Arial" w:hAnsi="Arial"/>
                  <w:color w:val="2F5D3A"/>
                  <w:sz w:val="18"/>
                  <w:szCs w:val="18"/>
                  <w:u w:val="single"/>
                </w:rPr>
                <w:t xml:space="preserve">https://claude.ai/artifact/L9duSXhNfKejbz6RKXDQQv</w:t>
              </w:r>
            </w:hyperlink>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u0k1uvp-kpt50cpn8i4su">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dmnip8a4fhcfbbud8bspw">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ugbyxolftvsclgbrjap8o">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pStyle w:val="ListParagraph"/>
        <w:numPr>
          <w:ilvl w:val="0"/>
          <w:numId w:val="3"/>
        </w:numPr>
        <w:spacing w:after="70" w:line="290"/>
      </w:pPr>
      <w:r>
        <w:rPr>
          <w:rFonts w:ascii="Arial" w:cs="Arial" w:eastAsia="Arial" w:hAnsi="Arial"/>
          <w:color w:val="1B2118"/>
          <w:sz w:val="21"/>
          <w:szCs w:val="21"/>
        </w:rPr>
        <w:t xml:space="preserve">18/10 — Rapporti di Monitoraggio: percorso di 4 fasi senza consultazione (Caricamento del rapporto, Verifica documentale, Validazione e verifica, Chiusura); si creano in qualsiasi momento mentre il Progetto è attivo.</w:t>
      </w:r>
    </w:p>
    <w:p>
      <w:pPr>
        <w:pStyle w:val="ListParagraph"/>
        <w:numPr>
          <w:ilvl w:val="0"/>
          <w:numId w:val="3"/>
        </w:numPr>
        <w:spacing w:after="70" w:line="290"/>
      </w:pPr>
      <w:r>
        <w:rPr>
          <w:rFonts w:ascii="Arial" w:cs="Arial" w:eastAsia="Arial" w:hAnsi="Arial"/>
          <w:color w:val="1B2118"/>
          <w:sz w:val="21"/>
          <w:szCs w:val="21"/>
        </w:rPr>
        <w:t xml:space="preserve">18/10 — La pratica la chiude sempre lo staff a mano (la chiusura della fase finale non la chiude).</w:t>
      </w:r>
    </w:p>
    <w:p>
      <w:pPr>
        <w:pStyle w:val="ListParagraph"/>
        <w:numPr>
          <w:ilvl w:val="0"/>
          <w:numId w:val="3"/>
        </w:numPr>
        <w:spacing w:after="70" w:line="290"/>
      </w:pPr>
      <w:r>
        <w:rPr>
          <w:rFonts w:ascii="Arial" w:cs="Arial" w:eastAsia="Arial" w:hAnsi="Arial"/>
          <w:color w:val="1B2118"/>
          <w:sz w:val="21"/>
          <w:szCs w:val="21"/>
        </w:rPr>
        <w:t xml:space="preserve">18/10 — Documenti richiesti per fase: elenco configurabile dall'Admin, solo indicatore (non blocca la chiusura della fase).</w:t>
      </w:r>
    </w:p>
    <w:p>
      <w:pPr>
        <w:pStyle w:val="ListParagraph"/>
        <w:numPr>
          <w:ilvl w:val="0"/>
          <w:numId w:val="3"/>
        </w:numPr>
        <w:spacing w:after="70" w:line="290"/>
      </w:pPr>
      <w:r>
        <w:rPr>
          <w:rFonts w:ascii="Arial" w:cs="Arial" w:eastAsia="Arial" w:hAnsi="Arial"/>
          <w:color w:val="1B2118"/>
          <w:sz w:val="21"/>
          <w:szCs w:val="21"/>
        </w:rPr>
        <w:t xml:space="preserve">18/10 — Audit: resta leggibile dal database da tutto lo staff (serve alla cronologia nel fascicolo esportato dagli Operatori); la pagina Audit resta solo per gli Amministratori.</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color w:val="1B2118"/>
          <w:sz w:val="21"/>
          <w:szCs w:val="21"/>
        </w:rPr>
        <w:t xml:space="preserve">7.</w:t>
      </w:r>
      <w:r>
        <w:rPr>
          <w:rFonts w:ascii="Arial" w:cs="Arial" w:eastAsia="Arial" w:hAnsi="Arial"/>
          <w:color w:val="1B2118"/>
          <w:sz w:val="21"/>
          <w:szCs w:val="21"/>
        </w:rPr>
        <w:t xml:space="preserve"> Registro dei crediti calcolati e confermati — base fatta il 18/10 (numero di registro, stato valido/sostituito, totali); da completare con le regole di </w:t>
      </w:r>
      <w:r>
        <w:rPr>
          <w:rFonts w:ascii="Arial" w:cs="Arial" w:eastAsia="Arial" w:hAnsi="Arial"/>
          <w:i/>
          <w:iCs/>
          <w:color w:val="1B2118"/>
          <w:sz w:val="21"/>
          <w:szCs w:val="21"/>
        </w:rPr>
        <w:t xml:space="preserve">Guida al Programma</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Standard CWP</w:t>
      </w:r>
      <w:r>
        <w:rPr>
          <w:rFonts w:ascii="Arial" w:cs="Arial" w:eastAsia="Arial" w:hAnsi="Arial"/>
          <w:color w:val="1B2118"/>
          <w:sz w:val="21"/>
          <w:szCs w:val="21"/>
        </w:rPr>
        <w:t xml:space="preserve"> (emissione, trasferimento, annullamento).</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a fine sviluppo, test di intrusione (penetration test) affidato a terzi.</w:t>
      </w:r>
    </w:p>
    <w:p>
      <w:pPr>
        <w:pStyle w:val="ListParagraph"/>
        <w:numPr>
          <w:ilvl w:val="1"/>
          <w:numId w:val="3"/>
        </w:numPr>
        <w:spacing w:after="70" w:line="290"/>
      </w:pPr>
      <w:r>
        <w:rPr>
          <w:rFonts w:ascii="Arial" w:cs="Arial" w:eastAsia="Arial" w:hAnsi="Arial"/>
          <w:b/>
          <w:bCs/>
          <w:color w:val="1B2118"/>
          <w:sz w:val="20"/>
          <w:szCs w:val="20"/>
        </w:rPr>
        <w:t xml:space="preserve">Intestazioni di sicurezza</w:t>
      </w:r>
      <w:r>
        <w:rPr>
          <w:rFonts w:ascii="Arial" w:cs="Arial" w:eastAsia="Arial" w:hAnsi="Arial"/>
          <w:color w:val="1B2118"/>
          <w:sz w:val="20"/>
          <w:szCs w:val="20"/>
        </w:rPr>
        <w:t xml:space="preserve"> del sito (Content-Security-Policy, HSTS, protezione dal clickjacking, nessun riferimento esterno non necessario) configurate su Vercel.</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scadenza delle sessioni inattive.</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color w:val="2F5D3A"/>
          <w:sz w:val="20"/>
          <w:szCs w:val="20"/>
        </w:rPr>
        <w:t xml:space="preserve">npm audit</w:t>
      </w:r>
      <w:r>
        <w:rPr>
          <w:rFonts w:ascii="Arial" w:cs="Arial" w:eastAsia="Arial" w:hAnsi="Arial"/>
          <w:color w:val="1B2118"/>
          <w:sz w:val="20"/>
          <w:szCs w:val="20"/>
        </w:rPr>
        <w:t xml:space="preserve"> del 18/10 segnala due avvisi moderati da risolvere con aggiornamenti maggiori: esbuild/vite (solo server di sviluppo, non il portale pubblicato) e react-router 6 (open redirect: aggiornare a react-router 7).</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registro di sicurezza (punto 14), avvisi su accessi anomali, errori e indisponibilità del portale.</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strike/>
          <w:color w:val="5A5E54"/>
          <w:sz w:val="21"/>
          <w:szCs w:val="21"/>
        </w:rPr>
        <w:t xml:space="preserve">33.</w:t>
      </w:r>
      <w:r>
        <w:rPr>
          <w:rFonts w:ascii="Arial" w:cs="Arial" w:eastAsia="Arial" w:hAnsi="Arial"/>
          <w:strike/>
          <w:color w:val="5A5E54"/>
          <w:sz w:val="21"/>
          <w:szCs w:val="21"/>
        </w:rPr>
        <w:t xml:space="preserve"> Pulizia e rinforzi emersi dalla revisione del codice del 18/10</w:t>
      </w:r>
      <w:r>
        <w:rPr>
          <w:rFonts w:ascii="Arial" w:cs="Arial" w:eastAsia="Arial" w:hAnsi="Arial"/>
          <w:color w:val="1B2118"/>
          <w:sz w:val="21"/>
          <w:szCs w:val="21"/>
        </w:rPr>
        <w:t xml:space="preserve"> — fatto il 18/10 (script 20):</w:t>
      </w:r>
    </w:p>
    <w:p>
      <w:pPr>
        <w:pStyle w:val="ListParagraph"/>
        <w:numPr>
          <w:ilvl w:val="1"/>
          <w:numId w:val="3"/>
        </w:numPr>
        <w:spacing w:after="70" w:line="290"/>
      </w:pPr>
      <w:r>
        <w:rPr>
          <w:rFonts w:ascii="Arial" w:cs="Arial" w:eastAsia="Arial" w:hAnsi="Arial"/>
          <w:strike/>
          <w:color w:val="5A5E54"/>
          <w:sz w:val="20"/>
          <w:szCs w:val="20"/>
        </w:rPr>
        <w:t xml:space="preserve">creazione del Progetto e delle sue 7 fasi in un'unica funzione del database</w:t>
      </w:r>
      <w:r>
        <w:rPr>
          <w:rFonts w:ascii="Arial" w:cs="Arial" w:eastAsia="Arial" w:hAnsi="Arial"/>
          <w:color w:val="1B2118"/>
          <w:sz w:val="20"/>
          <w:szCs w:val="20"/>
        </w:rPr>
        <w:t xml:space="preserve"> — fatto (</w:t>
      </w:r>
      <w:r>
        <w:rPr>
          <w:rFonts w:ascii="Consolas" w:cs="Consolas" w:eastAsia="Consolas" w:hAnsi="Consolas"/>
          <w:color w:val="2F5D3A"/>
          <w:sz w:val="20"/>
          <w:szCs w:val="20"/>
        </w:rPr>
        <w:t xml:space="preserve">staff_crea_pratica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strike/>
          <w:color w:val="5A5E54"/>
          <w:sz w:val="20"/>
          <w:szCs w:val="20"/>
        </w:rPr>
        <w:t xml:space="preserve">import della Banca Dati Utenze</w:t>
      </w:r>
      <w:r>
        <w:rPr>
          <w:rFonts w:ascii="Arial" w:cs="Arial" w:eastAsia="Arial" w:hAnsi="Arial"/>
          <w:color w:val="1B2118"/>
          <w:sz w:val="20"/>
          <w:szCs w:val="20"/>
        </w:rPr>
        <w:t xml:space="preserve"> — resta a blocchi (una sola chiamata non regge centinaia di migliaia di righe), ma un salvataggio a metà non si può più confermare: fatto;</w:t>
      </w:r>
    </w:p>
    <w:p>
      <w:pPr>
        <w:pStyle w:val="ListParagraph"/>
        <w:numPr>
          <w:ilvl w:val="1"/>
          <w:numId w:val="3"/>
        </w:numPr>
        <w:spacing w:after="70" w:line="290"/>
      </w:pPr>
      <w:r>
        <w:rPr>
          <w:rFonts w:ascii="Arial" w:cs="Arial" w:eastAsia="Arial" w:hAnsi="Arial"/>
          <w:strike/>
          <w:color w:val="5A5E54"/>
          <w:sz w:val="20"/>
          <w:szCs w:val="20"/>
        </w:rPr>
        <w:t xml:space="preserve">password temporanee: allineare </w:t>
      </w:r>
      <w:r>
        <w:rPr>
          <w:rFonts w:ascii="Consolas" w:cs="Consolas" w:eastAsia="Consolas" w:hAnsi="Consolas"/>
          <w:strike/>
          <w:color w:val="2F5D3A"/>
          <w:sz w:val="20"/>
          <w:szCs w:val="20"/>
        </w:rPr>
        <w:t xml:space="preserve">crea-utente</w:t>
      </w:r>
      <w:r>
        <w:rPr>
          <w:rFonts w:ascii="Arial" w:cs="Arial" w:eastAsia="Arial" w:hAnsi="Arial"/>
          <w:strike/>
          <w:color w:val="5A5E54"/>
          <w:sz w:val="20"/>
          <w:szCs w:val="20"/>
        </w:rPr>
        <w:t xml:space="preserve"> alla regola dei 10 caratteri con lettere e numeri</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obbligo di cambio della password temporanea imposto anche dal database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modifica di un utente, nuova versione di un calcolo, creazione di un utente non atomiche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data della consultazione in ora italiana</w:t>
      </w:r>
      <w:r>
        <w:rPr>
          <w:rFonts w:ascii="Arial" w:cs="Arial" w:eastAsia="Arial" w:hAnsi="Arial"/>
          <w:color w:val="1B2118"/>
          <w:sz w:val="20"/>
          <w:szCs w:val="20"/>
        </w:rPr>
        <w:t xml:space="preserve"> — fatto (tutto il database in ora italiana);</w:t>
      </w:r>
    </w:p>
    <w:p>
      <w:pPr>
        <w:pStyle w:val="ListParagraph"/>
        <w:numPr>
          <w:ilvl w:val="1"/>
          <w:numId w:val="3"/>
        </w:numPr>
        <w:spacing w:after="70" w:line="290"/>
      </w:pPr>
      <w:r>
        <w:rPr>
          <w:rFonts w:ascii="Arial" w:cs="Arial" w:eastAsia="Arial" w:hAnsi="Arial"/>
          <w:strike/>
          <w:color w:val="5A5E54"/>
          <w:sz w:val="20"/>
          <w:szCs w:val="20"/>
        </w:rPr>
        <w:t xml:space="preserve">limite di 10 Rapporti di Monitoraggio nel database</w:t>
      </w:r>
      <w:r>
        <w:rPr>
          <w:rFonts w:ascii="Arial" w:cs="Arial" w:eastAsia="Arial" w:hAnsi="Arial"/>
          <w:color w:val="1B2118"/>
          <w:sz w:val="20"/>
          <w:szCs w:val="20"/>
        </w:rPr>
        <w:t xml:space="preserve"> — era già garantito (vincolo e indice dello script 01);</w:t>
      </w:r>
    </w:p>
    <w:p>
      <w:pPr>
        <w:pStyle w:val="ListParagraph"/>
        <w:numPr>
          <w:ilvl w:val="1"/>
          <w:numId w:val="3"/>
        </w:numPr>
        <w:spacing w:after="70" w:line="290"/>
      </w:pPr>
      <w:r>
        <w:rPr>
          <w:rFonts w:ascii="Arial" w:cs="Arial" w:eastAsia="Arial" w:hAnsi="Arial"/>
          <w:strike/>
          <w:color w:val="5A5E54"/>
          <w:sz w:val="20"/>
          <w:szCs w:val="20"/>
        </w:rPr>
        <w:t xml:space="preserve">componenti del prototipo, stile </w:t>
      </w:r>
      <w:r>
        <w:rPr>
          <w:rFonts w:ascii="Consolas" w:cs="Consolas" w:eastAsia="Consolas" w:hAnsi="Consolas"/>
          <w:strike/>
          <w:color w:val="2F5D3A"/>
          <w:sz w:val="20"/>
          <w:szCs w:val="20"/>
        </w:rPr>
        <w:t xml:space="preserve">avviso</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datiEsempio.js</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etichetta()</w:t>
      </w:r>
      <w:r>
        <w:rPr>
          <w:rFonts w:ascii="Arial" w:cs="Arial" w:eastAsia="Arial" w:hAnsi="Arial"/>
          <w:strike/>
          <w:color w:val="5A5E54"/>
          <w:sz w:val="20"/>
          <w:szCs w:val="20"/>
        </w:rPr>
        <w:t xml:space="preserve"> non usati</w:t>
      </w:r>
      <w:r>
        <w:rPr>
          <w:rFonts w:ascii="Arial" w:cs="Arial" w:eastAsia="Arial" w:hAnsi="Arial"/>
          <w:color w:val="1B2118"/>
          <w:sz w:val="20"/>
          <w:szCs w:val="20"/>
        </w:rPr>
        <w:t xml:space="preserve"> — eliminati;</w:t>
      </w:r>
    </w:p>
    <w:p>
      <w:pPr>
        <w:pStyle w:val="ListParagraph"/>
        <w:numPr>
          <w:ilvl w:val="1"/>
          <w:numId w:val="3"/>
        </w:numPr>
        <w:spacing w:after="70" w:line="290"/>
      </w:pPr>
      <w:r>
        <w:rPr>
          <w:rFonts w:ascii="Arial" w:cs="Arial" w:eastAsia="Arial" w:hAnsi="Arial"/>
          <w:strike/>
          <w:color w:val="5A5E54"/>
          <w:sz w:val="20"/>
          <w:szCs w:val="20"/>
        </w:rPr>
        <w:t xml:space="preserve">audit leggibile da tutto lo staff</w:t>
      </w:r>
      <w:r>
        <w:rPr>
          <w:rFonts w:ascii="Arial" w:cs="Arial" w:eastAsia="Arial" w:hAnsi="Arial"/>
          <w:color w:val="1B2118"/>
          <w:sz w:val="20"/>
          <w:szCs w:val="20"/>
        </w:rPr>
        <w:t xml:space="preserve"> — decisione di Luca del 18/10: resta così (capitolo Decisioni).</w:t>
      </w:r>
    </w:p>
    <w:p>
      <w:pPr>
        <w:spacing w:after="140" w:line="300"/>
      </w:pPr>
      <w:r>
        <w:rPr>
          <w:rFonts w:ascii="Arial" w:cs="Arial" w:eastAsia="Arial" w:hAnsi="Arial"/>
          <w:b/>
          <w:bCs/>
          <w:color w:val="1B2118"/>
          <w:sz w:val="21"/>
          <w:szCs w:val="21"/>
        </w:rPr>
        <w:t xml:space="preserve">Completamento funzionale — confronto con i requisiti del 15/09 (18/10)</w:t>
      </w:r>
    </w:p>
    <w:p>
      <w:pPr>
        <w:pStyle w:val="ListParagraph"/>
        <w:numPr>
          <w:ilvl w:val="0"/>
          <w:numId w:val="3"/>
        </w:numPr>
        <w:spacing w:after="70" w:line="290"/>
      </w:pPr>
      <w:r>
        <w:rPr>
          <w:rFonts w:ascii="Arial" w:cs="Arial" w:eastAsia="Arial" w:hAnsi="Arial"/>
          <w:b/>
          <w:bCs/>
          <w:strike/>
          <w:color w:val="5A5E54"/>
          <w:sz w:val="21"/>
          <w:szCs w:val="21"/>
        </w:rPr>
        <w:t xml:space="preserve">34.</w:t>
      </w:r>
      <w:r>
        <w:rPr>
          <w:rFonts w:ascii="Arial" w:cs="Arial" w:eastAsia="Arial" w:hAnsi="Arial"/>
          <w:strike/>
          <w:color w:val="5A5E54"/>
          <w:sz w:val="21"/>
          <w:szCs w:val="21"/>
        </w:rPr>
        <w:t xml:space="preserve"> Parti dei requisiti mancanti o incomplete</w:t>
      </w:r>
      <w:r>
        <w:rPr>
          <w:rFonts w:ascii="Arial" w:cs="Arial" w:eastAsia="Arial" w:hAnsi="Arial"/>
          <w:color w:val="1B2118"/>
          <w:sz w:val="21"/>
          <w:szCs w:val="21"/>
        </w:rPr>
        <w:t xml:space="preserve"> — fatto il 18/10 (script 21): Rapporti con percorso proprio, documenti richiesti per fase, censimento di Organizzazioni ed Enti da parte degli Operatori con i Progetti associati, blocco del documento in consultazione, numero e motivazione delle osservazioni, conservazione per 10 anni, caricamenti solo nelle fasi aperte, fascicolo completo con riepilogo PDF. Restano fuori, per scelta o perché dipendono da altri: la regola «una sola utenza per Organizzazione» (non vincolante, decisione del 18/10), la procedura di cancellazione a fine conservazione (la definirà la Fondazione), le regole del registro dei crediti (punto 7).</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Agente AI (Claude) integrato nel portale — richiesto da Luca il 18/10.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2"/>
        <w:gridCol w:w="1010"/>
        <w:gridCol w:w="1010"/>
        <w:gridCol w:w="3766"/>
      </w:tblGrid>
      <w:tr>
        <w:trPr>
          <w:tblHeader/>
        </w:trPr>
        <w:tc>
          <w:tcPr>
            <w:tcW w:type="dxa" w:w="38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7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e chiusura delle fasi</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49"/>
        <w:gridCol w:w="1010"/>
        <w:gridCol w:w="4379"/>
      </w:tblGrid>
      <w:tr>
        <w:trPr>
          <w:tblHeader/>
        </w:trPr>
        <w:tc>
          <w:tcPr>
            <w:tcW w:type="dxa" w:w="42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3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7 fasi, durate</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numerazione del registro</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6.26</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(aggiornamento a 7 nel punto 30)</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 / 4.3</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91 file, 20.947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src/pages/Anagrafiche.jsx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censimento di Organizzazioni ed Enti di Validazione (requisiti §3: l'Operatore «censisce Organizzazioni ed Enti di Validazione»). - Organizzazioni: elenco con ricerca, dati essenziali (tipo, codice fiscale, partita IVA, PEC,…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sue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1371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in consultazione per 30 giorni e inviare osservazioni, che Fondazione Operate modera e a cui il Comune risponde (la moderazione avviene nel back-office, componente Consultazione).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in attesa del Cliente, integrazioni da verificare, consultazioni attive) e tabella di tutte le pratiche, Progetti e Rapporti, con ricerca 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 Durata delle fasi del Progetto e del Rapporto di Monitoraggio (script 13 e 21, componente DurateFasi); - Documenti richiesti per fase (script 21, componente…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78"/>
        <w:gridCol w:w="939"/>
        <w:gridCol w:w="5121"/>
      </w:tblGrid>
      <w:tr>
        <w:trPr>
          <w:tblHeader/>
        </w:trPr>
        <w:tc>
          <w:tcPr>
            <w:tcW w:type="dxa" w:w="357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3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1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5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422</w:t>
            </w:r>
          </w:p>
        </w:tc>
        <w:tc>
          <w:tcPr>
            <w:tcW w:type="dxa" w:w="51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«Consultazione pubblica» di un Progetto (fase 3, requisiti §6). Lo staff apre la consultazione pubblicando un documento per 30 giorni, modera le osservazioni, pubblica errata corrige e la chiude. Il Comune legge le…</w:t>
            </w:r>
          </w:p>
        </w:tc>
      </w:tr>
      <w:tr>
        <w:trPr>
          <w:cantSplit/>
        </w:trPr>
        <w:tc>
          <w:tcPr>
            <w:tcW w:type="dxa" w:w="35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723</w:t>
            </w:r>
          </w:p>
        </w:tc>
        <w:tc>
          <w:tcPr>
            <w:tcW w:type="dxa" w:w="51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fasi (7 per il Progetto, 4 per il Rapporto).</w:t>
            </w:r>
          </w:p>
        </w:tc>
      </w:tr>
      <w:tr>
        <w:trPr>
          <w:cantSplit/>
        </w:trPr>
        <w:tc>
          <w:tcPr>
            <w:tcW w:type="dxa" w:w="35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315</w:t>
            </w:r>
          </w:p>
        </w:tc>
        <w:tc>
          <w:tcPr>
            <w:tcW w:type="dxa" w:w="51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5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156</w:t>
            </w:r>
          </w:p>
        </w:tc>
        <w:tc>
          <w:tcPr>
            <w:tcW w:type="dxa" w:w="51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5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1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5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1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5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1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fasi di una pratica (backlog 10). Lo staff legge tutte le note e ne aggiunge di nuove, interne (solo Fondazione) o condivise con il Comune; il Comune vede solo le condivise.</w:t>
            </w:r>
          </w:p>
        </w:tc>
      </w:tr>
      <w:tr>
        <w:trPr>
          <w:cantSplit/>
        </w:trPr>
        <w:tc>
          <w:tcPr>
            <w:tcW w:type="dxa" w:w="35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177</w:t>
            </w:r>
          </w:p>
        </w:tc>
        <w:tc>
          <w:tcPr>
            <w:tcW w:type="dxa" w:w="51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5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260</w:t>
            </w:r>
          </w:p>
        </w:tc>
        <w:tc>
          <w:tcPr>
            <w:tcW w:type="dxa" w:w="51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codice (facoltativo) e titolo; alla creazione vengono generate le 7 fasi, con la fase 1…</w:t>
            </w:r>
          </w:p>
        </w:tc>
      </w:tr>
      <w:tr>
        <w:trPr>
          <w:cantSplit/>
        </w:trPr>
        <w:tc>
          <w:tcPr>
            <w:tcW w:type="dxa" w:w="35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226</w:t>
            </w:r>
          </w:p>
        </w:tc>
        <w:tc>
          <w:tcPr>
            <w:tcW w:type="dxa" w:w="51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5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124</w:t>
            </w:r>
          </w:p>
        </w:tc>
        <w:tc>
          <w:tcPr>
            <w:tcW w:type="dxa" w:w="51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fino a 10, uno per anno, in sequenza. Ognuno è una pratica autonoma (tipo «rapporto») con le sue 4 fasi (Caricamento del rapporto, Verifica documentale,…</w:t>
            </w:r>
          </w:p>
        </w:tc>
      </w:tr>
      <w:tr>
        <w:trPr>
          <w:cantSplit/>
        </w:trPr>
        <w:tc>
          <w:tcPr>
            <w:tcW w:type="dxa" w:w="35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1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5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165</w:t>
            </w:r>
          </w:p>
        </w:tc>
        <w:tc>
          <w:tcPr>
            <w:tcW w:type="dxa" w:w="51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Crediti CWP. Elenca i calcoli ex post confermati con il numero di registro assegnato dal database alla conferma (CWP-REG-AAAA-NNNN). Un calcolo corretto con una…</w:t>
            </w:r>
          </w:p>
        </w:tc>
      </w:tr>
      <w:tr>
        <w:trPr>
          <w:cantSplit/>
        </w:trPr>
        <w:tc>
          <w:tcPr>
            <w:tcW w:type="dxa" w:w="35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1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5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src/components/impostazioni/DocumentiRichiesti.jsx</w:t>
            </w:r>
          </w:p>
        </w:tc>
        <w:tc>
          <w:tcPr>
            <w:tcW w:type="dxa" w:w="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1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richiesti in ogni fase (requisiti §4, «eventuali documenti richiesti»), per Progetto e Rapporto di Monitoraggio. Ogni voce è una tipologia di documento attesa in una fase; nella pratica la fase mostra…</w:t>
            </w:r>
          </w:p>
        </w:tc>
      </w:tr>
      <w:tr>
        <w:trPr>
          <w:cantSplit/>
        </w:trPr>
        <w:tc>
          <w:tcPr>
            <w:tcW w:type="dxa" w:w="35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src/components/impostazioni/DurateFasi.jsx</w:t>
            </w:r>
          </w:p>
        </w:tc>
        <w:tc>
          <w:tcPr>
            <w:tcW w:type="dxa" w:w="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1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«Durata delle fasi» delle Impostazioni, una per tipo di pratica: Progetto (7 fasi) e Rapporto di Monitoraggio (4 fasi, script 21). Tabella delle fasi con la durata in giorni modificabile (dalla fase 2 in poi; la fase 1 è…</w:t>
            </w:r>
          </w:p>
        </w:tc>
      </w:tr>
      <w:tr>
        <w:trPr>
          <w:cantSplit/>
        </w:trPr>
        <w:tc>
          <w:tcPr>
            <w:tcW w:type="dxa" w:w="35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139</w:t>
            </w:r>
          </w:p>
        </w:tc>
        <w:tc>
          <w:tcPr>
            <w:tcW w:type="dxa" w:w="51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Anagrafiche. Elenco degli enti con i Progetti a cui sono assegnati (requisiti §3), inserimento di un nuovo ente, modifica e disattivazione. L'ente non…</w:t>
            </w:r>
          </w:p>
        </w:tc>
      </w:tr>
      <w:tr>
        <w:trPr>
          <w:cantSplit/>
        </w:trPr>
        <w:tc>
          <w:tcPr>
            <w:tcW w:type="dxa" w:w="35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156</w:t>
            </w:r>
          </w:p>
        </w:tc>
        <w:tc>
          <w:tcPr>
            <w:tcW w:type="dxa" w:w="51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di un tipo di pratica (Progetto o</w:t>
            </w:r>
          </w:p>
        </w:tc>
      </w:tr>
      <w:tr>
        <w:trPr>
          <w:cantSplit/>
        </w:trPr>
        <w:tc>
          <w:tcPr>
            <w:tcW w:type="dxa" w:w="35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del Progetto e le 4 del Rapporto, i 3 ruoli applicativi, gli stati di pratica e di fase (con i colori dei badge), la palette e le tipologie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 (anche la data italiana, indipendente dal fuso del computer).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865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(Riepilogo.pdf, src/lib/fascicoloPdf.js), dati della pratica con l'Ente di Validazione, fasi, tutti i documenti in tutte le versioni (cartella Validazione per il rapporto dell'Ente; per i Rapporti anche il…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documento leggibile da stampare o archiviare insieme ai file del fascicolo: dati della pratica e dell'Ente di Validazione, fasi, elenco dei documenti (con l'impronta SHA-256), integrazioni, consultazioni pubbliche, pagamenti…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48"/>
        <w:gridCol w:w="974"/>
        <w:gridCol w:w="5316"/>
      </w:tblGrid>
      <w:tr>
        <w:trPr>
          <w:tblHeader/>
        </w:trPr>
        <w:tc>
          <w:tcPr>
            <w:tcW w:type="dxa" w:w="33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3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3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3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3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3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3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3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3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3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3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3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3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3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3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3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3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3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3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3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3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3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3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3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3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3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3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3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3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3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3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3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3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3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3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3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3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3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3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3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3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supabase/20_rinforzi_integrita.sql</w:t>
            </w:r>
          </w:p>
        </w:tc>
        <w:tc>
          <w:tcPr>
            <w:tcW w:type="dxa" w:w="9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w:t>
            </w:r>
          </w:p>
        </w:tc>
        <w:tc>
          <w:tcPr>
            <w:tcW w:type="dxa" w:w="53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RINFORZI DI INTEGRITÀ (backlog 33, 18/10/2026)</w:t>
            </w:r>
          </w:p>
        </w:tc>
      </w:tr>
      <w:tr>
        <w:trPr>
          <w:cantSplit/>
        </w:trPr>
        <w:tc>
          <w:tcPr>
            <w:tcW w:type="dxa" w:w="33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supabase/21_completamento_funzionale.sql</w:t>
            </w:r>
          </w:p>
        </w:tc>
        <w:tc>
          <w:tcPr>
            <w:tcW w:type="dxa" w:w="9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679</w:t>
            </w:r>
          </w:p>
        </w:tc>
        <w:tc>
          <w:tcPr>
            <w:tcW w:type="dxa" w:w="53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(confronto con i requisiti, 18/10/2026)</w:t>
            </w:r>
          </w:p>
        </w:tc>
      </w:tr>
      <w:tr>
        <w:trPr>
          <w:cantSplit/>
        </w:trPr>
        <w:tc>
          <w:tcPr>
            <w:tcW w:type="dxa" w:w="33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3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78"/>
        <w:gridCol w:w="892"/>
        <w:gridCol w:w="4868"/>
      </w:tblGrid>
      <w:tr>
        <w:trPr>
          <w:tblHeader/>
        </w:trPr>
        <w:tc>
          <w:tcPr>
            <w:tcW w:type="dxa" w:w="387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8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86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398</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8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8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156</w:t>
            </w:r>
          </w:p>
        </w:tc>
        <w:tc>
          <w:tcPr>
            <w:tcW w:type="dxa" w:w="486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L'Admin comunica la password all'utente, che potrà cambiarla al primo accesso.</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8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8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86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109</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1008"/>
        <w:gridCol w:w="5495"/>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00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10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10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test/date.test.mjs</w:t>
            </w:r>
          </w:p>
        </w:tc>
        <w:tc>
          <w:tcPr>
            <w:tcW w:type="dxa" w:w="10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5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le date in ora italiana usate per aprire le consultazioni (30 giorni) e per i nomi dei file: oggiItalia() deve dare sempre aaaa-mm-gg in fuso Europe/Rome, aggiungiGiorni() deve contare i giorni sul calendario (fine…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10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4"/>
        <w:gridCol w:w="3697"/>
        <w:gridCol w:w="3697"/>
      </w:tblGrid>
      <w:tr>
        <w:trPr>
          <w:tblHeader/>
        </w:trPr>
        <w:tc>
          <w:tcPr>
            <w:tcW w:type="dxa" w:w="224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 coerenza del risultato: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calcolo_bdu_modificata</w:t>
            </w:r>
            <w:r>
              <w:rPr>
                <w:rFonts w:ascii="Arial" w:cs="Arial" w:eastAsia="Arial" w:hAnsi="Arial"/>
                <w:color w:val="1B2118"/>
                <w:sz w:val="18"/>
                <w:szCs w:val="18"/>
              </w:rPr>
              <w:t xml:space="preserve">; nuova versione: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(20)</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test/date.test.mjs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Coerenza del risultato (script 20)</w:t>
      </w:r>
      <w:r>
        <w:rPr>
          <w:rFonts w:ascii="Arial" w:cs="Arial" w:eastAsia="Arial" w:hAnsi="Arial"/>
          <w:color w:val="1B2118"/>
          <w:sz w:val="21"/>
          <w:szCs w:val="21"/>
        </w:rPr>
        <w:t xml:space="preserve">: il risultato salvato vale solo per i dati con cui è stato calcolato. Se cambiano dati, anno, tipo, data di avvio o le righe della Banca Dati Utenze senza un nuovo «Calcola», il database azzera il risultato (e i crediti) della bozza. «Calcola» scrive in </w:t>
      </w:r>
      <w:r>
        <w:rPr>
          <w:rFonts w:ascii="Consolas" w:cs="Consolas" w:eastAsia="Consolas" w:hAnsi="Consolas"/>
          <w:color w:val="2F5D3A"/>
          <w:sz w:val="21"/>
          <w:szCs w:val="21"/>
        </w:rPr>
        <w:t xml:space="preserve">risultato.righe</w:t>
      </w:r>
      <w:r>
        <w:rPr>
          <w:rFonts w:ascii="Arial" w:cs="Arial" w:eastAsia="Arial" w:hAnsi="Arial"/>
          <w:color w:val="1B2118"/>
          <w:sz w:val="21"/>
          <w:szCs w:val="21"/>
        </w:rPr>
        <w:t xml:space="preserve"> quante righe di conferimento e di riuso ha usato; alla conferma il database le confronta con quelle salvate e rifiuta la conferma se non coincidono. I calcoli in bozza calcolati prima del 18/10 vanno ricalcolati prima della conferma.</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che però non si possono confermare: ripetere l'import e «Calcola»); scelte interpretative da confermare (capitolo 11); regole di emissione e annullamento dei crediti in attesa dello Standard CWP (backlog 7).</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2.0 · 18/10/2026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2.0 · 18/10/2026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baoa-2gl84tr0lw2ie9w_" Type="http://schemas.openxmlformats.org/officeDocument/2006/relationships/hyperlink" Target="https://claude.ai/artifact/L9duSXhNfKejbz6RKXDQQv" TargetMode="External"/><Relationship Id="rIdu0k1uvp-kpt50cpn8i4su" Type="http://schemas.openxmlformats.org/officeDocument/2006/relationships/hyperlink" Target="https://claude.ai/code/artifact/e2dd2bd5-8042-4744-8d5a-54d34dc50153" TargetMode="External"/><Relationship Id="rIddmnip8a4fhcfbbud8bspw" Type="http://schemas.openxmlformats.org/officeDocument/2006/relationships/hyperlink" Target="https://claude.ai/code/artifact/cc36ab09-61e6-4dad-aaf0-4082ea0a46da" TargetMode="External"/><Relationship Id="rIdugbyxolftvsclgbrjap8o"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2.0)</dc:title>
  <dc:creator>Fondazione Operate</dc:creator>
  <cp:lastModifiedBy>Un-named</cp:lastModifiedBy>
  <cp:revision>1</cp:revision>
  <dcterms:created xsi:type="dcterms:W3CDTF">2026-10-18T15:30:32.583Z</dcterms:created>
  <dcterms:modified xsi:type="dcterms:W3CDTF">2026-10-18T15:30:32.583Z</dcterms:modified>
</cp:coreProperties>
</file>

<file path=docProps/custom.xml><?xml version="1.0" encoding="utf-8"?>
<Properties xmlns="http://schemas.openxmlformats.org/officeDocument/2006/custom-properties" xmlns:vt="http://schemas.openxmlformats.org/officeDocument/2006/docPropsVTypes"/>
</file>