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6.6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26/10/2026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dei siti: siti che rifiutano i programmi automatici.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Listino sempre obbligatorio; Progetti esistenti a Caso 1.</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Lettura dei siti.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Monitoraggio solo per Progetti registrati.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aggiornamento a blocchi e IndicePA non disponibile.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«Marketing: Comuni, gestori e campagne» (banche dati, campagne, pagina Approfondisci, richieste).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dello stato delle fasi in Dashboard e nella pratica.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progetto e dati della pratica: listino Caso 1 / Caso 2 e valore del progetto; Dashboard: valore dei progetti per il cliente.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Revisione generale al 23/10: protezione dei dati del tracciato e della Banca Dati Utenze per utenza.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valore dei crediti in simulazione e in fase esecutiva; Impostazioni: prezzo di riferimento del credito.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5a: «Calcola» usa le utenze (categoria di simulazione come classe della delibera, kg misurati, frazioni per utenza); utenze senza categoria o fuori delibera escluse e conferma bloccata; fonte nei Risultati, nel CSV e nel PDF.</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delle utenze; calcolo di prova.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delle utenze nel passo 5a del calcolo: caricamento, schede, modulo; categorie tariffaria e di simulazione.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per utenza: campi, regole, dati personali.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dal telefono: menu a pannello, schede in Dashboard e Audit, elenco e dettaglio delle pratiche.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Rilievi N01-N06: costi una tantum in 10 rate, feedback pubblico e fase 3, ente prima della fase 5, riquadro «Fase aperta senza scadenza», avviso sui codici, frazioni del fattore dell'indifferenziato.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diventa «Notizie CO2»; Google News attraverso il tramite; barra a LED nell'elenco e nella pratica. Pallino verde delle Notizie CO2 nuove. Notizie CO2: siti di notizie ambientali al posto di Google News. Notizie CO2: siti di notizie ambientali al posto di Google News.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«News»: osservatorio sui crediti di carbonio volontari. Canali Bing News e Verra.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il PDF scaricato riporta tutti i dati della pagina, i costi e i grafici; foglio Excel «Dati inseriti».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per gli Operatori e domande sulla pratica aperta; menu dell'Operatore con il Simulatore.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«Backup automatico».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tra quelli scaricabili.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V05: testo completo dei valori lunghi nell'Audit (Prima/Dopo, Tolto/Aggiunto), denominazione delle organizzazioni e ricerca sui valori cambiati; pagina «Account disattivato».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import CSV della Banca Dati «tutto o niente» senza valori negativi, calcolo bloccato con dati non ammessi, buffer manuale 0-80%, conferma definitiva solo senza errori di coerenza, dati non ammessi nel simulatore e zero esplicito nei prezzi, colonna «Oggetto e modifiche» nell'Audit.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«Sicurezza»: inattività, avvisi, protezioni del sito e del database.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menu degli enti aggiornate.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ordine del menu; la sezione si chiama «Audit User». Voce «Marketplaces»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«Audit trail user».</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PDF ed Excel del simulatore; messaggi d'errore dell'assistente.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messaggio «Un attimo…» durante l'attesa.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attivo: chiave legata a uno spazio di lavoro, crediti e consumi.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documenti ufficiali del Programma nella Documentazione.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nella pagina Documentazione.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tutte le tabelle e degli elenchi.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metodo di stima per utenza (solo utenze virtuose), buffer del Capitolo 7, taratura.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diventa Dashboard; barra a LED delle 7 fasi per ogni pratica.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Eliminazione degli utenti che non hanno mai operato (script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automatica con le credenziali al nuovo utente e alla reimpostazione della 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con accesso completo; Amministratore principale protetto (script 29).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per il Comune secondo il Caso 1 (progetto volontario) o il Caso 2 (progetto obbligatorio da bando).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proposto 32 €.</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valore unitario del credito e costi per il Comune (contratti tipo della Fondazione, Schema tariffario).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riferimento sempre alla soglia del 65% di differenziata e controllo dei valori fuori scala.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conforme al modello CWP: scenario di riferimento dello Standard 4.8.1, situazione attuale, conformità.</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«Simulatore di scenari»: creazione, anno base, obiettivi annui, risultati, modello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in arrivo: simulatore di scenari (7, 10 o 21 anni, obiettivi annui, % di differenziata e crediti stimati) e assistente virtuale (Claude).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rimando alle Istruzioni di ripristino e punti essenziali (capitolo Manutenzione ed emergenze).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 soggetto promotore del programma (esclusiva conferita da Wastelab).</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e documenti ufficiali già pubblicati sulla pagina pubblica.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(script 22-24): Rapporto a 7 fasi, feedback pubblico, stati del Programma, dati del progetto e territorio ISTAT, ritiro e rientro, account unico e delegati, registri, tariffe e sospensione, accuratezza e accertamenti, informazioni del Programma e metodologie, modelli pubblici; nuovi capitoli Crediti emessi, Reclami, Pagina pubblica; qualità dei dati nel calcolo.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6.6 del 26/10/2026.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8</w:t>
        </w:r>
      </w:hyperlink>
    </w:p>
    <w:p>
      <w:pPr>
        <w:tabs>
          <w:tab w:val="right" w:pos="9638" w:leader="dot"/>
        </w:tabs>
        <w:spacing w:after="130"/>
      </w:pPr>
      <w:hyperlink w:history="1" w:anchor="cap3">
        <w:r>
          <w:rPr>
            <w:rFonts w:ascii="Arial" w:cs="Arial" w:eastAsia="Arial" w:hAnsi="Arial"/>
            <w:color w:val="1B2118"/>
            <w:sz w:val="22"/>
            <w:szCs w:val="22"/>
          </w:rPr>
          <w:t xml:space="preserve">3.  Dashboard</w:t>
        </w:r>
        <w:r>
          <w:rPr>
            <w:rFonts w:ascii="Arial" w:cs="Arial" w:eastAsia="Arial" w:hAnsi="Arial"/>
            <w:color w:val="1B2118"/>
            <w:sz w:val="22"/>
            <w:szCs w:val="22"/>
          </w:rPr>
          <w:tab/>
          <w:t xml:space="preserve">9</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11</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14</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17</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18</w:t>
        </w:r>
      </w:hyperlink>
    </w:p>
    <w:p>
      <w:pPr>
        <w:tabs>
          <w:tab w:val="right" w:pos="9638" w:leader="dot"/>
        </w:tabs>
        <w:spacing w:after="130"/>
      </w:pPr>
      <w:hyperlink w:history="1" w:anchor="cap8">
        <w:r>
          <w:rPr>
            <w:rFonts w:ascii="Arial" w:cs="Arial" w:eastAsia="Arial" w:hAnsi="Arial"/>
            <w:color w:val="1B2118"/>
            <w:sz w:val="22"/>
            <w:szCs w:val="22"/>
          </w:rPr>
          <w:t xml:space="preserve">8.  Feedback pubblico</w:t>
        </w:r>
        <w:r>
          <w:rPr>
            <w:rFonts w:ascii="Arial" w:cs="Arial" w:eastAsia="Arial" w:hAnsi="Arial"/>
            <w:color w:val="1B2118"/>
            <w:sz w:val="22"/>
            <w:szCs w:val="22"/>
          </w:rPr>
          <w:tab/>
          <w:t xml:space="preserve">19</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21</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22</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24</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25</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26</w:t>
        </w:r>
      </w:hyperlink>
    </w:p>
    <w:p>
      <w:pPr>
        <w:tabs>
          <w:tab w:val="right" w:pos="9638" w:leader="dot"/>
        </w:tabs>
        <w:spacing w:after="130"/>
      </w:pPr>
      <w:hyperlink w:history="1" w:anchor="cap14">
        <w:r>
          <w:rPr>
            <w:rFonts w:ascii="Arial" w:cs="Arial" w:eastAsia="Arial" w:hAnsi="Arial"/>
            <w:color w:val="1B2118"/>
            <w:sz w:val="22"/>
            <w:szCs w:val="22"/>
          </w:rPr>
          <w:t xml:space="preserve">14.  Audit User (solo Amministratore principale)</w:t>
        </w:r>
        <w:r>
          <w:rPr>
            <w:rFonts w:ascii="Arial" w:cs="Arial" w:eastAsia="Arial" w:hAnsi="Arial"/>
            <w:color w:val="1B2118"/>
            <w:sz w:val="22"/>
            <w:szCs w:val="22"/>
          </w:rPr>
          <w:tab/>
          <w:t xml:space="preserve">29</w:t>
        </w:r>
      </w:hyperlink>
    </w:p>
    <w:p>
      <w:pPr>
        <w:tabs>
          <w:tab w:val="right" w:pos="9638" w:leader="dot"/>
        </w:tabs>
        <w:spacing w:after="130"/>
      </w:pPr>
      <w:hyperlink w:history="1" w:anchor="cap15">
        <w:r>
          <w:rPr>
            <w:rFonts w:ascii="Arial" w:cs="Arial" w:eastAsia="Arial" w:hAnsi="Arial"/>
            <w:color w:val="1B2118"/>
            <w:sz w:val="22"/>
            <w:szCs w:val="22"/>
          </w:rPr>
          <w:t xml:space="preserve">15.  Audit trail</w:t>
        </w:r>
        <w:r>
          <w:rPr>
            <w:rFonts w:ascii="Arial" w:cs="Arial" w:eastAsia="Arial" w:hAnsi="Arial"/>
            <w:color w:val="1B2118"/>
            <w:sz w:val="22"/>
            <w:szCs w:val="22"/>
          </w:rPr>
          <w:tab/>
          <w:t xml:space="preserve">30</w:t>
        </w:r>
      </w:hyperlink>
    </w:p>
    <w:p>
      <w:pPr>
        <w:tabs>
          <w:tab w:val="right" w:pos="9638" w:leader="dot"/>
        </w:tabs>
        <w:spacing w:after="130"/>
      </w:pPr>
      <w:hyperlink w:history="1" w:anchor="cap16">
        <w:r>
          <w:rPr>
            <w:rFonts w:ascii="Arial" w:cs="Arial" w:eastAsia="Arial" w:hAnsi="Arial"/>
            <w:color w:val="1B2118"/>
            <w:sz w:val="22"/>
            <w:szCs w:val="22"/>
          </w:rPr>
          <w:t xml:space="preserve">16.  Anagrafiche: Organizzazioni, Enti di Validazione e Registri</w:t>
        </w:r>
        <w:r>
          <w:rPr>
            <w:rFonts w:ascii="Arial" w:cs="Arial" w:eastAsia="Arial" w:hAnsi="Arial"/>
            <w:color w:val="1B2118"/>
            <w:sz w:val="22"/>
            <w:szCs w:val="22"/>
          </w:rPr>
          <w:tab/>
          <w:t xml:space="preserve"/>
        </w:r>
      </w:hyperlink>
    </w:p>
    <w:p>
      <w:pPr>
        <w:tabs>
          <w:tab w:val="right" w:pos="9638" w:leader="dot"/>
        </w:tabs>
        <w:spacing w:after="130"/>
      </w:pPr>
      <w:hyperlink w:history="1" w:anchor="cap17">
        <w:r>
          <w:rPr>
            <w:rFonts w:ascii="Arial" w:cs="Arial" w:eastAsia="Arial" w:hAnsi="Arial"/>
            <w:color w:val="1B2118"/>
            <w:sz w:val="22"/>
            <w:szCs w:val="22"/>
          </w:rPr>
          <w:t xml:space="preserve">17.  Impostazioni</w:t>
        </w:r>
        <w:r>
          <w:rPr>
            <w:rFonts w:ascii="Arial" w:cs="Arial" w:eastAsia="Arial" w:hAnsi="Arial"/>
            <w:color w:val="1B2118"/>
            <w:sz w:val="22"/>
            <w:szCs w:val="22"/>
          </w:rPr>
          <w:tab/>
          <w:t xml:space="preserve">33</w:t>
        </w:r>
      </w:hyperlink>
    </w:p>
    <w:p>
      <w:pPr>
        <w:tabs>
          <w:tab w:val="right" w:pos="9638" w:leader="dot"/>
        </w:tabs>
        <w:spacing w:after="130"/>
      </w:pPr>
      <w:hyperlink w:history="1" w:anchor="cap18">
        <w:r>
          <w:rPr>
            <w:rFonts w:ascii="Arial" w:cs="Arial" w:eastAsia="Arial" w:hAnsi="Arial"/>
            <w:color w:val="1B2118"/>
            <w:sz w:val="22"/>
            <w:szCs w:val="22"/>
          </w:rPr>
          <w:t xml:space="preserve">18.  Calcolo dei crediti CWP</w:t>
        </w:r>
        <w:r>
          <w:rPr>
            <w:rFonts w:ascii="Arial" w:cs="Arial" w:eastAsia="Arial" w:hAnsi="Arial"/>
            <w:color w:val="1B2118"/>
            <w:sz w:val="22"/>
            <w:szCs w:val="22"/>
          </w:rPr>
          <w:tab/>
          <w:t xml:space="preserve">36</w:t>
        </w:r>
      </w:hyperlink>
    </w:p>
    <w:p>
      <w:pPr>
        <w:tabs>
          <w:tab w:val="right" w:pos="9638" w:leader="dot"/>
        </w:tabs>
        <w:spacing w:after="130"/>
      </w:pPr>
      <w:hyperlink w:history="1" w:anchor="cap19">
        <w:r>
          <w:rPr>
            <w:rFonts w:ascii="Arial" w:cs="Arial" w:eastAsia="Arial" w:hAnsi="Arial"/>
            <w:color w:val="1B2118"/>
            <w:sz w:val="22"/>
            <w:szCs w:val="22"/>
          </w:rPr>
          <w:t xml:space="preserve">19.  Simulatore di scenari</w:t>
        </w:r>
        <w:r>
          <w:rPr>
            <w:rFonts w:ascii="Arial" w:cs="Arial" w:eastAsia="Arial" w:hAnsi="Arial"/>
            <w:color w:val="1B2118"/>
            <w:sz w:val="22"/>
            <w:szCs w:val="22"/>
          </w:rPr>
          <w:tab/>
          <w:t xml:space="preserve">45</w:t>
        </w:r>
      </w:hyperlink>
    </w:p>
    <w:p>
      <w:pPr>
        <w:tabs>
          <w:tab w:val="right" w:pos="9638" w:leader="dot"/>
        </w:tabs>
        <w:spacing w:after="130"/>
      </w:pPr>
      <w:hyperlink w:history="1" w:anchor="cap20">
        <w:r>
          <w:rPr>
            <w:rFonts w:ascii="Arial" w:cs="Arial" w:eastAsia="Arial" w:hAnsi="Arial"/>
            <w:color w:val="1B2118"/>
            <w:sz w:val="22"/>
            <w:szCs w:val="22"/>
          </w:rPr>
          <w:t xml:space="preserve">20.  Crediti emessi</w:t>
        </w:r>
        <w:r>
          <w:rPr>
            <w:rFonts w:ascii="Arial" w:cs="Arial" w:eastAsia="Arial" w:hAnsi="Arial"/>
            <w:color w:val="1B2118"/>
            <w:sz w:val="22"/>
            <w:szCs w:val="22"/>
          </w:rPr>
          <w:tab/>
          <w:t xml:space="preserve">49</w:t>
        </w:r>
      </w:hyperlink>
    </w:p>
    <w:p>
      <w:pPr>
        <w:tabs>
          <w:tab w:val="right" w:pos="9638" w:leader="dot"/>
        </w:tabs>
        <w:spacing w:after="130"/>
      </w:pPr>
      <w:hyperlink w:history="1" w:anchor="cap21">
        <w:r>
          <w:rPr>
            <w:rFonts w:ascii="Arial" w:cs="Arial" w:eastAsia="Arial" w:hAnsi="Arial"/>
            <w:color w:val="1B2118"/>
            <w:sz w:val="22"/>
            <w:szCs w:val="22"/>
          </w:rPr>
          <w:t xml:space="preserve">21.  Reclami e richieste di chiarimento</w:t>
        </w:r>
        <w:r>
          <w:rPr>
            <w:rFonts w:ascii="Arial" w:cs="Arial" w:eastAsia="Arial" w:hAnsi="Arial"/>
            <w:color w:val="1B2118"/>
            <w:sz w:val="22"/>
            <w:szCs w:val="22"/>
          </w:rPr>
          <w:tab/>
          <w:t xml:space="preserve">51</w:t>
        </w:r>
      </w:hyperlink>
    </w:p>
    <w:p>
      <w:pPr>
        <w:tabs>
          <w:tab w:val="right" w:pos="9638" w:leader="dot"/>
        </w:tabs>
        <w:spacing w:after="130"/>
      </w:pPr>
      <w:hyperlink w:history="1" w:anchor="cap22">
        <w:r>
          <w:rPr>
            <w:rFonts w:ascii="Arial" w:cs="Arial" w:eastAsia="Arial" w:hAnsi="Arial"/>
            <w:color w:val="1B2118"/>
            <w:sz w:val="22"/>
            <w:szCs w:val="22"/>
          </w:rPr>
          <w:t xml:space="preserve">22.  Pagina pubblica del Programma</w:t>
        </w:r>
        <w:r>
          <w:rPr>
            <w:rFonts w:ascii="Arial" w:cs="Arial" w:eastAsia="Arial" w:hAnsi="Arial"/>
            <w:color w:val="1B2118"/>
            <w:sz w:val="22"/>
            <w:szCs w:val="22"/>
          </w:rPr>
          <w:tab/>
          <w:t xml:space="preserve">52</w:t>
        </w:r>
      </w:hyperlink>
    </w:p>
    <w:p>
      <w:pPr>
        <w:tabs>
          <w:tab w:val="right" w:pos="9638" w:leader="dot"/>
        </w:tabs>
        <w:spacing w:after="130"/>
      </w:pPr>
      <w:hyperlink w:history="1" w:anchor="cap23">
        <w:r>
          <w:rPr>
            <w:rFonts w:ascii="Arial" w:cs="Arial" w:eastAsia="Arial" w:hAnsi="Arial"/>
            <w:color w:val="1B2118"/>
            <w:sz w:val="22"/>
            <w:szCs w:val="22"/>
          </w:rPr>
          <w:t xml:space="preserve">23.  Backup automatico</w:t>
        </w:r>
        <w:r>
          <w:rPr>
            <w:rFonts w:ascii="Arial" w:cs="Arial" w:eastAsia="Arial" w:hAnsi="Arial"/>
            <w:color w:val="1B2118"/>
            <w:sz w:val="22"/>
            <w:szCs w:val="22"/>
          </w:rPr>
          <w:tab/>
          <w:t xml:space="preserve">53</w:t>
        </w:r>
      </w:hyperlink>
    </w:p>
    <w:p>
      <w:pPr>
        <w:tabs>
          <w:tab w:val="right" w:pos="9638" w:leader="dot"/>
        </w:tabs>
        <w:spacing w:after="130"/>
      </w:pPr>
      <w:hyperlink w:history="1" w:anchor="cap24">
        <w:r>
          <w:rPr>
            <w:rFonts w:ascii="Arial" w:cs="Arial" w:eastAsia="Arial" w:hAnsi="Arial"/>
            <w:color w:val="1B2118"/>
            <w:sz w:val="22"/>
            <w:szCs w:val="22"/>
          </w:rPr>
          <w:t xml:space="preserve">24.  Documentazione e manuali</w:t>
        </w:r>
        <w:r>
          <w:rPr>
            <w:rFonts w:ascii="Arial" w:cs="Arial" w:eastAsia="Arial" w:hAnsi="Arial"/>
            <w:color w:val="1B2118"/>
            <w:sz w:val="22"/>
            <w:szCs w:val="22"/>
          </w:rPr>
          <w:tab/>
          <w:t xml:space="preserve">54</w:t>
        </w:r>
      </w:hyperlink>
    </w:p>
    <w:p>
      <w:pPr>
        <w:tabs>
          <w:tab w:val="right" w:pos="9638" w:leader="dot"/>
        </w:tabs>
        <w:spacing w:after="130"/>
      </w:pPr>
      <w:hyperlink w:history="1" w:anchor="cap25">
        <w:r>
          <w:rPr>
            <w:rFonts w:ascii="Arial" w:cs="Arial" w:eastAsia="Arial" w:hAnsi="Arial"/>
            <w:color w:val="1B2118"/>
            <w:sz w:val="22"/>
            <w:szCs w:val="22"/>
          </w:rPr>
          <w:t xml:space="preserve">25.  Notizie CO2: osservatorio sui crediti di carbonio volontari</w:t>
        </w:r>
        <w:r>
          <w:rPr>
            <w:rFonts w:ascii="Arial" w:cs="Arial" w:eastAsia="Arial" w:hAnsi="Arial"/>
            <w:color w:val="1B2118"/>
            <w:sz w:val="22"/>
            <w:szCs w:val="22"/>
          </w:rPr>
          <w:tab/>
          <w:t xml:space="preserve"/>
        </w:r>
      </w:hyperlink>
    </w:p>
    <w:p>
      <w:pPr>
        <w:tabs>
          <w:tab w:val="right" w:pos="9638" w:leader="dot"/>
        </w:tabs>
        <w:spacing w:after="130"/>
      </w:pPr>
      <w:hyperlink w:history="1" w:anchor="cap26">
        <w:r>
          <w:rPr>
            <w:rFonts w:ascii="Arial" w:cs="Arial" w:eastAsia="Arial" w:hAnsi="Arial"/>
            <w:color w:val="1B2118"/>
            <w:sz w:val="22"/>
            <w:szCs w:val="22"/>
          </w:rPr>
          <w:t xml:space="preserve">26.  Marketing: Comuni, gestori e campagne</w:t>
        </w:r>
        <w:r>
          <w:rPr>
            <w:rFonts w:ascii="Arial" w:cs="Arial" w:eastAsia="Arial" w:hAnsi="Arial"/>
            <w:color w:val="1B2118"/>
            <w:sz w:val="22"/>
            <w:szCs w:val="22"/>
          </w:rPr>
          <w:tab/>
          <w:t xml:space="preserve">57</w:t>
        </w:r>
      </w:hyperlink>
    </w:p>
    <w:p>
      <w:pPr>
        <w:tabs>
          <w:tab w:val="right" w:pos="9638" w:leader="dot"/>
        </w:tabs>
        <w:spacing w:after="130"/>
      </w:pPr>
      <w:hyperlink w:history="1" w:anchor="cap27">
        <w:r>
          <w:rPr>
            <w:rFonts w:ascii="Arial" w:cs="Arial" w:eastAsia="Arial" w:hAnsi="Arial"/>
            <w:color w:val="1B2118"/>
            <w:sz w:val="22"/>
            <w:szCs w:val="22"/>
          </w:rPr>
          <w:t xml:space="preserve">27.  Assistente virtuale</w:t>
        </w:r>
        <w:r>
          <w:rPr>
            <w:rFonts w:ascii="Arial" w:cs="Arial" w:eastAsia="Arial" w:hAnsi="Arial"/>
            <w:color w:val="1B2118"/>
            <w:sz w:val="22"/>
            <w:szCs w:val="22"/>
          </w:rPr>
          <w:tab/>
          <w:t xml:space="preserve">59</w:t>
        </w:r>
      </w:hyperlink>
    </w:p>
    <w:p>
      <w:pPr>
        <w:tabs>
          <w:tab w:val="right" w:pos="9638" w:leader="dot"/>
        </w:tabs>
        <w:spacing w:after="130"/>
      </w:pPr>
      <w:hyperlink w:history="1" w:anchor="cap28">
        <w:r>
          <w:rPr>
            <w:rFonts w:ascii="Arial" w:cs="Arial" w:eastAsia="Arial" w:hAnsi="Arial"/>
            <w:color w:val="1B2118"/>
            <w:sz w:val="22"/>
            <w:szCs w:val="22"/>
          </w:rPr>
          <w:t xml:space="preserve">28.  Sicurezza</w:t>
        </w:r>
        <w:r>
          <w:rPr>
            <w:rFonts w:ascii="Arial" w:cs="Arial" w:eastAsia="Arial" w:hAnsi="Arial"/>
            <w:color w:val="1B2118"/>
            <w:sz w:val="22"/>
            <w:szCs w:val="22"/>
          </w:rPr>
          <w:tab/>
          <w:t xml:space="preserve">61</w:t>
        </w:r>
      </w:hyperlink>
    </w:p>
    <w:p>
      <w:pPr>
        <w:tabs>
          <w:tab w:val="right" w:pos="9638" w:leader="dot"/>
        </w:tabs>
        <w:spacing w:after="130"/>
      </w:pPr>
      <w:hyperlink w:history="1" w:anchor="cap29">
        <w:r>
          <w:rPr>
            <w:rFonts w:ascii="Arial" w:cs="Arial" w:eastAsia="Arial" w:hAnsi="Arial"/>
            <w:color w:val="1B2118"/>
            <w:sz w:val="22"/>
            <w:szCs w:val="22"/>
          </w:rPr>
          <w:t xml:space="preserve">29.  Manutenzione ed emergenze</w:t>
        </w:r>
        <w:r>
          <w:rPr>
            <w:rFonts w:ascii="Arial" w:cs="Arial" w:eastAsia="Arial" w:hAnsi="Arial"/>
            <w:color w:val="1B2118"/>
            <w:sz w:val="22"/>
            <w:szCs w:val="22"/>
          </w:rPr>
          <w:tab/>
          <w:t xml:space="preserve">62</w:t>
        </w:r>
      </w:hyperlink>
    </w:p>
    <w:p>
      <w:pPr>
        <w:tabs>
          <w:tab w:val="right" w:pos="9638" w:leader="dot"/>
        </w:tabs>
        <w:spacing w:after="130"/>
      </w:pPr>
      <w:hyperlink w:history="1" w:anchor="cap30">
        <w:r>
          <w:rPr>
            <w:rFonts w:ascii="Arial" w:cs="Arial" w:eastAsia="Arial" w:hAnsi="Arial"/>
            <w:color w:val="1B2118"/>
            <w:sz w:val="22"/>
            <w:szCs w:val="22"/>
          </w:rPr>
          <w:t xml:space="preserve">30.  Funzioni in arrivo</w:t>
        </w:r>
        <w:r>
          <w:rPr>
            <w:rFonts w:ascii="Arial" w:cs="Arial" w:eastAsia="Arial" w:hAnsi="Arial"/>
            <w:color w:val="1B2118"/>
            <w:sz w:val="22"/>
            <w:szCs w:val="22"/>
          </w:rPr>
          <w:tab/>
          <w:t xml:space="preserve">63</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e la gestione dei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Il portale usa i nomi dei documenti ufficiali del Programma (Guida al Programma, Standard CWP, Schema tariffario, Politica di reclamo, Gestione della qualità dei dati, v1.2): la Fondazione è il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il Comune (o chi presenta il progetto)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RINA è 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9"/>
        <w:gridCol w:w="2179"/>
        <w:gridCol w:w="2010"/>
      </w:tblGrid>
      <w:tr>
        <w:trPr>
          <w:tblHeader/>
        </w:trPr>
        <w:tc>
          <w:tcPr>
            <w:tcW w:type="dxa" w:w="54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fasi, scadenze</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feedback pubblico, pagamenti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Enti di Validazione, Registri)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caricamento sul registro, vendite, cancellazioni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(pagina pubblica del Programma, metodologie, durata delle fasi, documenti richiesti, modelli)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(Registro e questo manuale)</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Notizie CO2: osservatorio sui crediti di carbonio volontari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possono essere più di uno e hanno tutti accesso completo a tutti i dati. Un Amministratore può nominare altri Amministratori (capitolo «Gestione utenti»). L'</w:t>
      </w: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è luca.moretti@operate.it: nessuno lo può modificare, disattivare o cancellare.</w:t>
      </w: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 suoi rapporti vengono caricati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(compresi ritiro e rientro), modifica di una scadenza, verifica sull'accuratezza e accertamenti,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12 anni (Guida al Programma 6.2.1 e 6.5.1).</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ukobi57uccykkxpev7kw3">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Audit User (solo l'Amministratore principale), Documentazione, Notizie CO2; </w:t>
            </w:r>
            <w:r>
              <w:rPr>
                <w:rFonts w:ascii="Arial" w:cs="Arial" w:eastAsia="Arial" w:hAnsi="Arial"/>
                <w:b/>
                <w:bCs/>
                <w:color w:val="1B2118"/>
                <w:sz w:val="18"/>
                <w:szCs w:val="18"/>
              </w:rPr>
              <w:t xml:space="preserve">Marketplaces</w:t>
            </w:r>
            <w:r>
              <w:rPr>
                <w:rFonts w:ascii="Arial" w:cs="Arial" w:eastAsia="Arial" w:hAnsi="Arial"/>
                <w:color w:val="1B2118"/>
                <w:sz w:val="18"/>
                <w:szCs w:val="18"/>
              </w:rPr>
              <w:t xml:space="preserve"> in grigio, non cliccabile (sezione in arrivo)</w:t>
            </w:r>
          </w:p>
        </w:tc>
      </w:tr>
    </w:tbl>
    <w:p>
      <w:pPr>
        <w:spacing w:after="160"/>
      </w:pPr>
    </w:p>
    <w:p>
      <w:pPr>
        <w:spacing w:after="140" w:line="300"/>
      </w:pPr>
      <w:r>
        <w:rPr>
          <w:rFonts w:ascii="Arial" w:cs="Arial" w:eastAsia="Arial" w:hAnsi="Arial"/>
          <w:b/>
          <w:bCs/>
          <w:color w:val="1B2118"/>
          <w:sz w:val="21"/>
          <w:szCs w:val="21"/>
        </w:rPr>
        <w:t xml:space="preserve">Ordinare tabelle ed elenchi.</w:t>
      </w:r>
      <w:r>
        <w:rPr>
          <w:rFonts w:ascii="Arial" w:cs="Arial" w:eastAsia="Arial" w:hAnsi="Arial"/>
          <w:color w:val="1B2118"/>
          <w:sz w:val="21"/>
          <w:szCs w:val="21"/>
        </w:rPr>
        <w:t xml:space="preserve"> Ogni tabella del portale si ordina per qualsiasi colonna: fate clic sull'intestazione per l'ordine crescente (freccia ▲) e di nuovo per il decrescente (▼); le colonne non ordinate mostrano ↕. Vale per Dashboard, Audit, Calcolo crediti, Registro dei crediti, Simulatore (scenari, risultati, costi e parte economica) e per le tabelle del calcolo. Gli elenchi a schede (Pratiche, Utenti, Organizzazioni, Enti di Validazione, Registri, Reclami, Crediti emessi, documenti, pagamenti e Rapporti di una pratica) hanno in alto il menu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con il pulsante ▲/▼ del verso; «ordine predefinito» torna all'ordine iniziale. I valori vuoti restano sempre in fondo. Le tabelle in cui si inseriscono i dati anno per anno restano in ordine di anno.</w:t>
      </w: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Dashboard</w:t>
      </w:r>
      <w:bookmarkEnd w:id="1"/>
    </w:p>
    <w:p>
      <w:pPr>
        <w:spacing w:after="140" w:line="300"/>
      </w:pPr>
      <w:r>
        <w:rPr>
          <w:rFonts w:ascii="Arial" w:cs="Arial" w:eastAsia="Arial" w:hAnsi="Arial"/>
          <w:b/>
          <w:bCs/>
          <w:color w:val="1B2118"/>
          <w:sz w:val="21"/>
          <w:szCs w:val="21"/>
        </w:rPr>
        <w:t xml:space="preserve">Dal telefono (dal 22/10/2026).</w:t>
      </w:r>
      <w:r>
        <w:rPr>
          <w:rFonts w:ascii="Arial" w:cs="Arial" w:eastAsia="Arial" w:hAnsi="Arial"/>
          <w:color w:val="1B2118"/>
          <w:sz w:val="21"/>
          <w:szCs w:val="21"/>
        </w:rPr>
        <w:t xml:space="preserve"> Su uno schermo fino a 760 px l'intestazione mostra solo i loghi, la campanella e </w:t>
      </w:r>
      <w:r>
        <w:rPr>
          <w:rFonts w:ascii="Arial" w:cs="Arial" w:eastAsia="Arial" w:hAnsi="Arial"/>
          <w:b/>
          <w:bCs/>
          <w:color w:val="1B2118"/>
          <w:sz w:val="21"/>
          <w:szCs w:val="21"/>
        </w:rPr>
        <w:t xml:space="preserve">☰ Menu</w:t>
      </w:r>
      <w:r>
        <w:rPr>
          <w:rFonts w:ascii="Arial" w:cs="Arial" w:eastAsia="Arial" w:hAnsi="Arial"/>
          <w:color w:val="1B2118"/>
          <w:sz w:val="21"/>
          <w:szCs w:val="21"/>
        </w:rPr>
        <w:t xml:space="preserve">, che apre tutte le voci, il profilo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 il pallino verde delle Notizie CO2 compare sul pulsante Menu e accanto alla voce. La tabella della Dashboard e quella dell'Audit diventano schede, una per pratica o per evento, con l'etichetta di ogni colonna; l'ordine si sceglie con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sopra le schede. In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si vede prima l'elenco: toccando una pratica si apre il dettaglio, con </w:t>
      </w:r>
      <w:r>
        <w:rPr>
          <w:rFonts w:ascii="Arial" w:cs="Arial" w:eastAsia="Arial" w:hAnsi="Arial"/>
          <w:b/>
          <w:bCs/>
          <w:color w:val="1B2118"/>
          <w:sz w:val="21"/>
          <w:szCs w:val="21"/>
        </w:rPr>
        <w:t xml:space="preserve">← Tutte le pratiche</w:t>
      </w:r>
      <w:r>
        <w:rPr>
          <w:rFonts w:ascii="Arial" w:cs="Arial" w:eastAsia="Arial" w:hAnsi="Arial"/>
          <w:color w:val="1B2118"/>
          <w:sz w:val="21"/>
          <w:szCs w:val="21"/>
        </w:rPr>
        <w:t xml:space="preserve"> in alto. Le tabelle più larghe (simulatore, calcolo) scorrono di lato dentro il loro riquadro. I campi di testo sono a 16 px, così l'iPhone non ingrandisce la pagina quando li si tocca.</w:t>
      </w:r>
    </w:p>
    <w:p>
      <w:pPr>
        <w:spacing w:after="140" w:line="30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Dashboard</w:t>
      </w:r>
      <w:r>
        <w:rPr>
          <w:rFonts w:ascii="Arial" w:cs="Arial" w:eastAsia="Arial" w:hAnsi="Arial"/>
          <w:color w:val="1B2118"/>
          <w:sz w:val="21"/>
          <w:szCs w:val="21"/>
        </w:rPr>
        <w:t xml:space="preserve"> è la pagina iniziale dello staff: mostra in un'unica tabella tutte le pratiche, Progetti e Rapporti, con l'avanzamento, la fase corrente, la scadenza e ciò che c'è da fare.</w:t>
      </w:r>
    </w:p>
    <w:p>
      <w:pPr>
        <w:spacing w:after="140" w:line="300"/>
      </w:pPr>
      <w:r>
        <w:rPr>
          <w:rFonts w:ascii="Arial" w:cs="Arial" w:eastAsia="Arial" w:hAnsi="Arial"/>
          <w:b/>
          <w:bCs/>
          <w:color w:val="1B2118"/>
          <w:sz w:val="21"/>
          <w:szCs w:val="21"/>
        </w:rPr>
        <w:t xml:space="preserve">Barra di avanzamento a LED.</w:t>
      </w:r>
      <w:r>
        <w:rPr>
          <w:rFonts w:ascii="Arial" w:cs="Arial" w:eastAsia="Arial" w:hAnsi="Arial"/>
          <w:color w:val="1B2118"/>
          <w:sz w:val="21"/>
          <w:szCs w:val="21"/>
        </w:rPr>
        <w:t xml:space="preserve"> La colonna </w:t>
      </w:r>
      <w:r>
        <w:rPr>
          <w:rFonts w:ascii="Arial" w:cs="Arial" w:eastAsia="Arial" w:hAnsi="Arial"/>
          <w:b/>
          <w:bCs/>
          <w:color w:val="1B2118"/>
          <w:sz w:val="21"/>
          <w:szCs w:val="21"/>
        </w:rPr>
        <w:t xml:space="preserve">Avanzamento</w:t>
      </w:r>
      <w:r>
        <w:rPr>
          <w:rFonts w:ascii="Arial" w:cs="Arial" w:eastAsia="Arial" w:hAnsi="Arial"/>
          <w:color w:val="1B2118"/>
          <w:sz w:val="21"/>
          <w:szCs w:val="21"/>
        </w:rPr>
        <w:t xml:space="preserve"> mostra per ogni pratica (quindi per ogni Comune) una barra di 7 luci, una per fase. Le fasi </w:t>
      </w:r>
      <w:r>
        <w:rPr>
          <w:rFonts w:ascii="Arial" w:cs="Arial" w:eastAsia="Arial" w:hAnsi="Arial"/>
          <w:b/>
          <w:bCs/>
          <w:color w:val="1B2118"/>
          <w:sz w:val="21"/>
          <w:szCs w:val="21"/>
        </w:rPr>
        <w:t xml:space="preserve">completate sono accese</w:t>
      </w:r>
      <w:r>
        <w:rPr>
          <w:rFonts w:ascii="Arial" w:cs="Arial" w:eastAsia="Arial" w:hAnsi="Arial"/>
          <w:color w:val="1B2118"/>
          <w:sz w:val="21"/>
          <w:szCs w:val="21"/>
        </w:rPr>
        <w:t xml:space="preserve"> (ambra), quelle </w:t>
      </w:r>
      <w:r>
        <w:rPr>
          <w:rFonts w:ascii="Arial" w:cs="Arial" w:eastAsia="Arial" w:hAnsi="Arial"/>
          <w:b/>
          <w:bCs/>
          <w:color w:val="1B2118"/>
          <w:sz w:val="21"/>
          <w:szCs w:val="21"/>
        </w:rPr>
        <w:t xml:space="preserve">ancora da fare sono spente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settima luce</w:t>
      </w:r>
      <w:r>
        <w:rPr>
          <w:rFonts w:ascii="Arial" w:cs="Arial" w:eastAsia="Arial" w:hAnsi="Arial"/>
          <w:color w:val="1B2118"/>
          <w:sz w:val="21"/>
          <w:szCs w:val="21"/>
        </w:rPr>
        <w:t xml:space="preserve">, la Chiusura, si accende in </w:t>
      </w:r>
      <w:r>
        <w:rPr>
          <w:rFonts w:ascii="Arial" w:cs="Arial" w:eastAsia="Arial" w:hAnsi="Arial"/>
          <w:b/>
          <w:bCs/>
          <w:color w:val="1B2118"/>
          <w:sz w:val="21"/>
          <w:szCs w:val="21"/>
        </w:rPr>
        <w:t xml:space="preserve">verde</w:t>
      </w:r>
      <w:r>
        <w:rPr>
          <w:rFonts w:ascii="Arial" w:cs="Arial" w:eastAsia="Arial" w:hAnsi="Arial"/>
          <w:color w:val="1B2118"/>
          <w:sz w:val="21"/>
          <w:szCs w:val="21"/>
        </w:rPr>
        <w:t xml:space="preserve">. La fase in corso è spenta ma ha un contorno ambra, così si vede subito dove è arrivata la pratica. Accanto c'è il conteggio, ad esempio «4/7». Passando il mouse su una luce compaiono numero, nome e stato della fase. La stessa barra, in piccolo, compare </w:t>
      </w:r>
      <w:r>
        <w:rPr>
          <w:rFonts w:ascii="Arial" w:cs="Arial" w:eastAsia="Arial" w:hAnsi="Arial"/>
          <w:b/>
          <w:bCs/>
          <w:color w:val="1B2118"/>
          <w:sz w:val="21"/>
          <w:szCs w:val="21"/>
        </w:rPr>
        <w:t xml:space="preserve">nell'elenco delle pratiche</w:t>
      </w:r>
      <w:r>
        <w:rPr>
          <w:rFonts w:ascii="Arial" w:cs="Arial" w:eastAsia="Arial" w:hAnsi="Arial"/>
          <w:color w:val="1B2118"/>
          <w:sz w:val="21"/>
          <w:szCs w:val="21"/>
        </w:rPr>
        <w:t xml:space="preserve"> a sinistra della pagina Pratiche (in alto a destra di ogni riquadro, con lo stato sotto) e </w:t>
      </w:r>
      <w:r>
        <w:rPr>
          <w:rFonts w:ascii="Arial" w:cs="Arial" w:eastAsia="Arial" w:hAnsi="Arial"/>
          <w:b/>
          <w:bCs/>
          <w:color w:val="1B2118"/>
          <w:sz w:val="21"/>
          <w:szCs w:val="21"/>
        </w:rPr>
        <w:t xml:space="preserve">in alto a destra nella pratica aperta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Valore dei crediti (dal 23/10/2026).</w:t>
      </w:r>
      <w:r>
        <w:rPr>
          <w:rFonts w:ascii="Arial" w:cs="Arial" w:eastAsia="Arial" w:hAnsi="Arial"/>
          <w:color w:val="1B2118"/>
          <w:sz w:val="21"/>
          <w:szCs w:val="21"/>
        </w:rPr>
        <w:t xml:space="preserve"> In cima alla Dashboard due riquadri danno il valore complessivo dei crediti di tutto il portale, in crediti (1 credito = 1 tCO₂eq) e in euro:</w:t>
      </w:r>
    </w:p>
    <w:p>
      <w:pPr>
        <w:pStyle w:val="ListParagraph"/>
        <w:numPr>
          <w:ilvl w:val="0"/>
          <w:numId w:val="2"/>
        </w:numPr>
        <w:spacing w:after="70" w:line="290"/>
      </w:pPr>
      <w:r>
        <w:rPr>
          <w:rFonts w:ascii="Arial" w:cs="Arial" w:eastAsia="Arial" w:hAnsi="Arial"/>
          <w:b/>
          <w:bCs/>
          <w:color w:val="1B2118"/>
          <w:sz w:val="21"/>
          <w:szCs w:val="21"/>
        </w:rPr>
        <w:t xml:space="preserve">Crediti in simulazione</w:t>
      </w:r>
      <w:r>
        <w:rPr>
          <w:rFonts w:ascii="Arial" w:cs="Arial" w:eastAsia="Arial" w:hAnsi="Arial"/>
          <w:color w:val="1B2118"/>
          <w:sz w:val="21"/>
          <w:szCs w:val="21"/>
        </w:rPr>
        <w:t xml:space="preserve">: per ogni Comune conta solo lo scenario del Simulatore </w:t>
      </w:r>
      <w:r>
        <w:rPr>
          <w:rFonts w:ascii="Arial" w:cs="Arial" w:eastAsia="Arial" w:hAnsi="Arial"/>
          <w:b/>
          <w:bCs/>
          <w:color w:val="1B2118"/>
          <w:sz w:val="21"/>
          <w:szCs w:val="21"/>
        </w:rPr>
        <w:t xml:space="preserve">aggiornato più di recente</w:t>
      </w:r>
      <w:r>
        <w:rPr>
          <w:rFonts w:ascii="Arial" w:cs="Arial" w:eastAsia="Arial" w:hAnsi="Arial"/>
          <w:color w:val="1B2118"/>
          <w:sz w:val="21"/>
          <w:szCs w:val="21"/>
        </w:rPr>
        <w:t xml:space="preserve"> (gli scenari prudente, obiettivo, ambizioso… sono alternative e non si sommano), con i crediti netti di tutto il periodo simulato (7, 10 o 21 anni). Gli euro sono i ricavi dello scenario (crediti × valore del credito anno per anno). Gli scenari salvati prima del 23/10/2026 o senza valore del credito si valorizzano al prezzo di riferimento e il riquadro dice quanti sono: basta riaprirli e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nel Simulatore. È una stima ex ante, non certificabile.</w:t>
      </w:r>
    </w:p>
    <w:p>
      <w:pPr>
        <w:pStyle w:val="ListParagraph"/>
        <w:numPr>
          <w:ilvl w:val="0"/>
          <w:numId w:val="2"/>
        </w:numPr>
        <w:spacing w:after="70" w:line="290"/>
      </w:pPr>
      <w:r>
        <w:rPr>
          <w:rFonts w:ascii="Arial" w:cs="Arial" w:eastAsia="Arial" w:hAnsi="Arial"/>
          <w:b/>
          <w:bCs/>
          <w:color w:val="1B2118"/>
          <w:sz w:val="21"/>
          <w:szCs w:val="21"/>
        </w:rPr>
        <w:t xml:space="preserve">Crediti in fase esecutiva</w:t>
      </w:r>
      <w:r>
        <w:rPr>
          <w:rFonts w:ascii="Arial" w:cs="Arial" w:eastAsia="Arial" w:hAnsi="Arial"/>
          <w:color w:val="1B2118"/>
          <w:sz w:val="21"/>
          <w:szCs w:val="21"/>
        </w:rPr>
        <w:t xml:space="preserve">: tre righe. </w:t>
      </w:r>
      <w:r>
        <w:rPr>
          <w:rFonts w:ascii="Arial" w:cs="Arial" w:eastAsia="Arial" w:hAnsi="Arial"/>
          <w:b/>
          <w:bCs/>
          <w:color w:val="1B2118"/>
          <w:sz w:val="21"/>
          <w:szCs w:val="21"/>
        </w:rPr>
        <w:t xml:space="preserve">Calcolati</w:t>
      </w:r>
      <w:r>
        <w:rPr>
          <w:rFonts w:ascii="Arial" w:cs="Arial" w:eastAsia="Arial" w:hAnsi="Arial"/>
          <w:color w:val="1B2118"/>
          <w:sz w:val="21"/>
          <w:szCs w:val="21"/>
        </w:rPr>
        <w:t xml:space="preserve">: crediti netti dei calcoli ex post confermati e ancora validi (non sostituiti da una nuova versione). </w:t>
      </w:r>
      <w:r>
        <w:rPr>
          <w:rFonts w:ascii="Arial" w:cs="Arial" w:eastAsia="Arial" w:hAnsi="Arial"/>
          <w:b/>
          <w:bCs/>
          <w:color w:val="1B2118"/>
          <w:sz w:val="21"/>
          <w:szCs w:val="21"/>
        </w:rPr>
        <w:t xml:space="preserve">Emessi</w:t>
      </w:r>
      <w:r>
        <w:rPr>
          <w:rFonts w:ascii="Arial" w:cs="Arial" w:eastAsia="Arial" w:hAnsi="Arial"/>
          <w:color w:val="1B2118"/>
          <w:sz w:val="21"/>
          <w:szCs w:val="21"/>
        </w:rPr>
        <w:t xml:space="preserve">: crediti dei lotti emessi dai Rapporti. </w:t>
      </w:r>
      <w:r>
        <w:rPr>
          <w:rFonts w:ascii="Arial" w:cs="Arial" w:eastAsia="Arial" w:hAnsi="Arial"/>
          <w:b/>
          <w:bCs/>
          <w:color w:val="1B2118"/>
          <w:sz w:val="21"/>
          <w:szCs w:val="21"/>
        </w:rPr>
        <w:t xml:space="preserve">Venduti</w:t>
      </w:r>
      <w:r>
        <w:rPr>
          <w:rFonts w:ascii="Arial" w:cs="Arial" w:eastAsia="Arial" w:hAnsi="Arial"/>
          <w:color w:val="1B2118"/>
          <w:sz w:val="21"/>
          <w:szCs w:val="21"/>
        </w:rPr>
        <w:t xml:space="preserve">: crediti venduti con il valore comunicato dal registro. Calcolati ed emessi sono valorizzati al </w:t>
      </w:r>
      <w:r>
        <w:rPr>
          <w:rFonts w:ascii="Arial" w:cs="Arial" w:eastAsia="Arial" w:hAnsi="Arial"/>
          <w:b/>
          <w:bCs/>
          <w:color w:val="1B2118"/>
          <w:sz w:val="21"/>
          <w:szCs w:val="21"/>
        </w:rPr>
        <w:t xml:space="preserve">prezzo di riferimento</w:t>
      </w:r>
      <w:r>
        <w:rPr>
          <w:rFonts w:ascii="Arial" w:cs="Arial" w:eastAsia="Arial" w:hAnsi="Arial"/>
          <w:color w:val="1B2118"/>
          <w:sz w:val="21"/>
          <w:szCs w:val="21"/>
        </w:rPr>
        <w:t xml:space="preserve"> (Impostazioni); le righe non si sommano, perché i crediti emessi provengono dai calcoli.</w:t>
      </w:r>
    </w:p>
    <w:p>
      <w:pPr>
        <w:pStyle w:val="ListParagraph"/>
        <w:numPr>
          <w:ilvl w:val="0"/>
          <w:numId w:val="2"/>
        </w:numPr>
        <w:spacing w:after="70" w:line="290"/>
      </w:pPr>
      <w:r>
        <w:rPr>
          <w:rFonts w:ascii="Arial" w:cs="Arial" w:eastAsia="Arial" w:hAnsi="Arial"/>
          <w:b/>
          <w:bCs/>
          <w:color w:val="1B2118"/>
          <w:sz w:val="21"/>
          <w:szCs w:val="21"/>
        </w:rPr>
        <w:t xml:space="preserve">Valore dei progetti (quanto paga il cliente)</w:t>
      </w:r>
      <w:r>
        <w:rPr>
          <w:rFonts w:ascii="Arial" w:cs="Arial" w:eastAsia="Arial" w:hAnsi="Arial"/>
          <w:color w:val="1B2118"/>
          <w:sz w:val="21"/>
          <w:szCs w:val="21"/>
        </w:rPr>
        <w:t xml:space="preserve"> (dal 23/10/2026): il totale in euro dei Progetti aperti (non annullati né ritirati) con il listino del </w:t>
      </w:r>
      <w:r>
        <w:rPr>
          <w:rFonts w:ascii="Arial" w:cs="Arial" w:eastAsia="Arial" w:hAnsi="Arial"/>
          <w:b/>
          <w:bCs/>
          <w:color w:val="1B2118"/>
          <w:sz w:val="21"/>
          <w:szCs w:val="21"/>
        </w:rPr>
        <w:t xml:space="preserve">Caso 1</w:t>
      </w:r>
      <w:r>
        <w:rPr>
          <w:rFonts w:ascii="Arial" w:cs="Arial" w:eastAsia="Arial" w:hAnsi="Arial"/>
          <w:color w:val="1B2118"/>
          <w:sz w:val="21"/>
          <w:szCs w:val="21"/>
        </w:rPr>
        <w:t xml:space="preserve"> o del </w:t>
      </w:r>
      <w:r>
        <w:rPr>
          <w:rFonts w:ascii="Arial" w:cs="Arial" w:eastAsia="Arial" w:hAnsi="Arial"/>
          <w:b/>
          <w:bCs/>
          <w:color w:val="1B2118"/>
          <w:sz w:val="21"/>
          <w:szCs w:val="21"/>
        </w:rPr>
        <w:t xml:space="preserve">Caso 2</w:t>
      </w:r>
      <w:r>
        <w:rPr>
          <w:rFonts w:ascii="Arial" w:cs="Arial" w:eastAsia="Arial" w:hAnsi="Arial"/>
          <w:color w:val="1B2118"/>
          <w:sz w:val="21"/>
          <w:szCs w:val="21"/>
        </w:rPr>
        <w:t xml:space="preserve">, per la popolazione e il periodo di ogni Progetto, con l'importo annuo; sotto, la riga </w:t>
      </w:r>
      <w:r>
        <w:rPr>
          <w:rFonts w:ascii="Arial" w:cs="Arial" w:eastAsia="Arial" w:hAnsi="Arial"/>
          <w:b/>
          <w:bCs/>
          <w:color w:val="1B2118"/>
          <w:sz w:val="21"/>
          <w:szCs w:val="21"/>
        </w:rPr>
        <w:t xml:space="preserve">In simulazione</w:t>
      </w:r>
      <w:r>
        <w:rPr>
          <w:rFonts w:ascii="Arial" w:cs="Arial" w:eastAsia="Arial" w:hAnsi="Arial"/>
          <w:color w:val="1B2118"/>
          <w:sz w:val="21"/>
          <w:szCs w:val="21"/>
        </w:rPr>
        <w:t xml:space="preserve"> con quanto pagherebbe il cliente nell'ultimo scenario di ogni Comune simulato con il Caso 1 o 2. Il riquadro dice quanti Progetti sono senza listino o senza popolazione (da completare in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 della pratica) e quanti scenari non hanno il Caso 1 o 2 (o sono stati salvati prima del 23/10: basta riaprirli e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Gli utenti dei Comuni vedono gli stessi riquadri nella loro pagina </w:t>
      </w:r>
      <w:r>
        <w:rPr>
          <w:rFonts w:ascii="Arial" w:cs="Arial" w:eastAsia="Arial" w:hAnsi="Arial"/>
          <w:b/>
          <w:bCs/>
          <w:color w:val="1B2118"/>
          <w:sz w:val="21"/>
          <w:szCs w:val="21"/>
        </w:rPr>
        <w:t xml:space="preserve">Le mie pratiche</w:t>
      </w:r>
      <w:r>
        <w:rPr>
          <w:rFonts w:ascii="Arial" w:cs="Arial" w:eastAsia="Arial" w:hAnsi="Arial"/>
          <w:color w:val="1B2118"/>
          <w:sz w:val="21"/>
          <w:szCs w:val="21"/>
        </w:rPr>
        <w:t xml:space="preserve">, ma solo con i dati della propria organizzazione (scenari collegati alla loro organizzazione, loro calcoli, lotti e vendite). Gli scenari fatti per un Comune scritto solo per nome, senza organizzazione collegata, contano solo per lo staff.</w:t>
      </w:r>
    </w:p>
    <w:p>
      <w:pPr>
        <w:spacing w:after="140" w:line="300"/>
      </w:pPr>
      <w:r>
        <w:rPr>
          <w:rFonts w:ascii="Arial" w:cs="Arial" w:eastAsia="Arial" w:hAnsi="Arial"/>
          <w:b/>
          <w:bCs/>
          <w:color w:val="1B2118"/>
          <w:sz w:val="21"/>
          <w:szCs w:val="21"/>
        </w:rPr>
        <w:t xml:space="preserve">Riquadri delle pratiche.</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7"/>
        <w:gridCol w:w="6961"/>
      </w:tblGrid>
      <w:tr>
        <w:trPr>
          <w:tblHeader/>
        </w:trPr>
        <w:tc>
          <w:tcPr>
            <w:tcW w:type="dxa" w:w="26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96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26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9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26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senza scadenza</w:t>
            </w:r>
          </w:p>
        </w:tc>
        <w:tc>
          <w:tcPr>
            <w:tcW w:type="dxa" w:w="69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senza una data di scadenza (numero in arancione): sono pratiche </w:t>
            </w:r>
            <w:r>
              <w:rPr>
                <w:rFonts w:ascii="Arial" w:cs="Arial" w:eastAsia="Arial" w:hAnsi="Arial"/>
                <w:b/>
                <w:bCs/>
                <w:color w:val="1B2118"/>
                <w:sz w:val="18"/>
                <w:szCs w:val="18"/>
              </w:rPr>
              <w:t xml:space="preserve">senza scadenza nota</w:t>
            </w:r>
            <w:r>
              <w:rPr>
                <w:rFonts w:ascii="Arial" w:cs="Arial" w:eastAsia="Arial" w:hAnsi="Arial"/>
                <w:color w:val="1B2118"/>
                <w:sz w:val="18"/>
                <w:szCs w:val="18"/>
              </w:rPr>
              <w:t xml:space="preserve">, non pratiche in regola. Lo zero di «In scadenza» e «Scadute» vale solo per le pratiche con una data. Nella colonna Scadenza compare «nessuna scadenza nota»</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26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9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aperti</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Periodi di feedback pubblico aperti, di Progetti e Rapporti</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feedback pubblico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spacing w:after="140" w:line="300"/>
      </w:pPr>
      <w:r>
        <w:rPr>
          <w:rFonts w:ascii="Arial" w:cs="Arial" w:eastAsia="Arial" w:hAnsi="Arial"/>
          <w:b/>
          <w:bCs/>
          <w:color w:val="1B2118"/>
          <w:sz w:val="21"/>
          <w:szCs w:val="21"/>
        </w:rPr>
        <w:t xml:space="preserve">Colori dello stato delle fasi (dal 23/10/2026).</w:t>
      </w:r>
      <w:r>
        <w:rPr>
          <w:rFonts w:ascii="Arial" w:cs="Arial" w:eastAsia="Arial" w:hAnsi="Arial"/>
          <w:color w:val="1B2118"/>
          <w:sz w:val="21"/>
          <w:szCs w:val="21"/>
        </w:rPr>
        <w:t xml:space="preserve"> Nella Dashboard (colonna Fase corrente) e nelle fasi della pratica la scritta dello stato è </w:t>
      </w:r>
      <w:r>
        <w:rPr>
          <w:rFonts w:ascii="Arial" w:cs="Arial" w:eastAsia="Arial" w:hAnsi="Arial"/>
          <w:b/>
          <w:bCs/>
          <w:color w:val="1B2118"/>
          <w:sz w:val="21"/>
          <w:szCs w:val="21"/>
        </w:rPr>
        <w:t xml:space="preserve">verde</w:t>
      </w:r>
      <w:r>
        <w:rPr>
          <w:rFonts w:ascii="Arial" w:cs="Arial" w:eastAsia="Arial" w:hAnsi="Arial"/>
          <w:color w:val="1B2118"/>
          <w:sz w:val="21"/>
          <w:szCs w:val="21"/>
        </w:rPr>
        <w:t xml:space="preserve"> per </w:t>
      </w:r>
      <w:r>
        <w:rPr>
          <w:rFonts w:ascii="Arial" w:cs="Arial" w:eastAsia="Arial" w:hAnsi="Arial"/>
          <w:i/>
          <w:iCs/>
          <w:color w:val="1B2118"/>
          <w:sz w:val="21"/>
          <w:szCs w:val="21"/>
        </w:rPr>
        <w:t xml:space="preserve">Completata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arancio</w:t>
      </w:r>
      <w:r>
        <w:rPr>
          <w:rFonts w:ascii="Arial" w:cs="Arial" w:eastAsia="Arial" w:hAnsi="Arial"/>
          <w:color w:val="1B2118"/>
          <w:sz w:val="21"/>
          <w:szCs w:val="21"/>
        </w:rPr>
        <w:t xml:space="preserve"> per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rossa</w:t>
      </w:r>
      <w:r>
        <w:rPr>
          <w:rFonts w:ascii="Arial" w:cs="Arial" w:eastAsia="Arial" w:hAnsi="Arial"/>
          <w:color w:val="1B2118"/>
          <w:sz w:val="21"/>
          <w:szCs w:val="21"/>
        </w:rPr>
        <w:t xml:space="preserve"> per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 Un codice scritto a mano si salva così com'è; se non segue il formato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 (es. minuscole o tre cifre) compare un avviso arancione. La regola sul formato dei codici scritti a mano è in attesa della Fondazione.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b/>
          <w:bCs/>
          <w:color w:val="1B2118"/>
          <w:sz w:val="21"/>
          <w:szCs w:val="21"/>
        </w:rPr>
        <w:t xml:space="preserve">Territorio: codici ISTAT dei Comuni (6 cifre)</w:t>
      </w:r>
      <w:r>
        <w:rPr>
          <w:rFonts w:ascii="Arial" w:cs="Arial" w:eastAsia="Arial" w:hAnsi="Arial"/>
          <w:color w:val="1B2118"/>
          <w:sz w:val="21"/>
          <w:szCs w:val="21"/>
        </w:rPr>
        <w:t xml:space="preserve">, separati da virgola (es. </w:t>
      </w:r>
      <w:r>
        <w:rPr>
          <w:rFonts w:ascii="Consolas" w:cs="Consolas" w:eastAsia="Consolas" w:hAnsi="Consolas"/>
          <w:color w:val="2F5D3A"/>
          <w:sz w:val="21"/>
          <w:szCs w:val="21"/>
        </w:rPr>
        <w:t xml:space="preserve">041044, 041001</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10 anni (una volta)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7 anni rinnovabili 3 volte</w:t>
      </w:r>
      <w:r>
        <w:rPr>
          <w:rFonts w:ascii="Arial" w:cs="Arial" w:eastAsia="Arial" w:hAnsi="Arial"/>
          <w:color w:val="1B2118"/>
          <w:sz w:val="21"/>
          <w:szCs w:val="21"/>
        </w:rPr>
        <w:t xml:space="preserve"> (Standard 4.3.8).</w:t>
      </w:r>
    </w:p>
    <w:p>
      <w:pPr>
        <w:pStyle w:val="ListParagraph"/>
        <w:numPr>
          <w:ilvl w:val="0"/>
          <w:numId w:val="4"/>
        </w:numPr>
        <w:spacing w:after="70" w:line="290"/>
      </w:pP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servono per le tariffe dello Schema tariffario (capitolo «Pagamenti») e per il valore del progetto; si possono completare dopo.</w:t>
      </w:r>
    </w:p>
    <w:p>
      <w:pPr>
        <w:pStyle w:val="ListParagraph"/>
        <w:numPr>
          <w:ilvl w:val="0"/>
          <w:numId w:val="4"/>
        </w:numPr>
        <w:spacing w:after="70" w:line="290"/>
      </w:pPr>
      <w:r>
        <w:rPr>
          <w:rFonts w:ascii="Arial" w:cs="Arial" w:eastAsia="Arial" w:hAnsi="Arial"/>
          <w:b/>
          <w:bCs/>
          <w:color w:val="1B2118"/>
          <w:sz w:val="21"/>
          <w:szCs w:val="21"/>
        </w:rPr>
        <w:t xml:space="preserve">Listino (quanto paga il cliente)</w:t>
      </w:r>
      <w:r>
        <w:rPr>
          <w:rFonts w:ascii="Arial" w:cs="Arial" w:eastAsia="Arial" w:hAnsi="Arial"/>
          <w:color w:val="1B2118"/>
          <w:sz w:val="21"/>
          <w:szCs w:val="21"/>
        </w:rPr>
        <w:t xml:space="preserve">, obbligatorio dal 23/10/2026: </w:t>
      </w: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Caso 2 – Progetto obbligatorio (da bando di gara)</w:t>
      </w:r>
      <w:r>
        <w:rPr>
          <w:rFonts w:ascii="Arial" w:cs="Arial" w:eastAsia="Arial" w:hAnsi="Arial"/>
          <w:color w:val="1B2118"/>
          <w:sz w:val="21"/>
          <w:szCs w:val="21"/>
        </w:rPr>
        <w:t xml:space="preserve">, le stesse tabelle dei costi del Simulatore. Con la popolazione indicata, sotto il menu compare il </w:t>
      </w:r>
      <w:r>
        <w:rPr>
          <w:rFonts w:ascii="Arial" w:cs="Arial" w:eastAsia="Arial" w:hAnsi="Arial"/>
          <w:b/>
          <w:bCs/>
          <w:color w:val="1B2118"/>
          <w:sz w:val="21"/>
          <w:szCs w:val="21"/>
        </w:rPr>
        <w:t xml:space="preserve">valore del progetto</w:t>
      </w:r>
      <w:r>
        <w:rPr>
          <w:rFonts w:ascii="Arial" w:cs="Arial" w:eastAsia="Arial" w:hAnsi="Arial"/>
          <w:color w:val="1B2118"/>
          <w:sz w:val="21"/>
          <w:szCs w:val="21"/>
        </w:rPr>
        <w:t xml:space="preserve"> (es. Caso 1 a 16.735 abitanti: 16.232,95 € all'anno, 162.329,50 € in 10 anni). Con il periodo di 7 anni il valore è una stima, perché le tabelle valgono per 10 anni.</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Un solo progetto per territorio.</w:t>
      </w:r>
      <w:r>
        <w:rPr>
          <w:rFonts w:ascii="Arial" w:cs="Arial" w:eastAsia="Arial" w:hAnsi="Arial"/>
          <w:color w:val="1B2118"/>
          <w:sz w:val="21"/>
          <w:szCs w:val="21"/>
        </w:rPr>
        <w:t xml:space="preserve"> Un Comune (codice ISTAT) può stare in un solo Progetto non annullato né ritirato (Standard 4.6). Se il codice è già usato il portale rifiuta il salvataggio con il messaggio «Il territorio con codice ISTAT … è già nel Progetto …»; se il codice non ha 6 cifre compare «Codice ISTAT non valido: ogni Comune ha un codice di 6 cifre».</w:t>
      </w:r>
    </w:p>
    <w:p>
      <w:pPr>
        <w:spacing w:after="140" w:line="300"/>
      </w:pPr>
      <w:r>
        <w:rPr>
          <w:rFonts w:ascii="Arial" w:cs="Arial" w:eastAsia="Arial" w:hAnsi="Arial"/>
          <w:b/>
          <w:bCs/>
          <w:color w:val="1B2118"/>
          <w:sz w:val="21"/>
          <w:szCs w:val="21"/>
        </w:rPr>
        <w:t xml:space="preserve">Intestazione della pratica.</w:t>
      </w:r>
      <w:r>
        <w:rPr>
          <w:rFonts w:ascii="Arial" w:cs="Arial" w:eastAsia="Arial" w:hAnsi="Arial"/>
          <w:color w:val="1B2118"/>
          <w:sz w:val="21"/>
          <w:szCs w:val="21"/>
        </w:rPr>
        <w:t xml:space="preserve"> In alto compaiono l'</w:t>
      </w:r>
      <w:r>
        <w:rPr>
          <w:rFonts w:ascii="Arial" w:cs="Arial" w:eastAsia="Arial" w:hAnsi="Arial"/>
          <w:b/>
          <w:bCs/>
          <w:color w:val="1B2118"/>
          <w:sz w:val="21"/>
          <w:szCs w:val="21"/>
        </w:rPr>
        <w:t xml:space="preserve">ID progetto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ID rapporto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w:t>
      </w:r>
      <w:r>
        <w:rPr>
          <w:rFonts w:ascii="Arial" w:cs="Arial" w:eastAsia="Arial" w:hAnsi="Arial"/>
          <w:color w:val="1B2118"/>
          <w:sz w:val="21"/>
          <w:szCs w:val="21"/>
        </w:rPr>
        <w:t xml:space="preserve">, cioè l'ID univoco assegnato dalla Fondazione (Guida 6.2.1), l'organizzazione, lo stato della pratica 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(«Nel Programma: …»), con i nomi della Guida (Tabelle 3 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3"/>
        <w:gridCol w:w="2985"/>
      </w:tblGrid>
      <w:tr>
        <w:trPr>
          <w:tblHeader/>
        </w:trPr>
        <w:tc>
          <w:tcPr>
            <w:tcW w:type="dxa" w:w="66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Nel Programma</w:t>
            </w:r>
          </w:p>
        </w:tc>
        <w:tc>
          <w:tcPr>
            <w:tcW w:type="dxa" w:w="2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registrazione (per il Rapporto: richiesta di registrazione del rapporto)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al completamento della fase 2</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validazione</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2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verifica documentale</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completata</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registrato (per il Rapporto: rapporto registrato e crediti registrati)</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6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registrato (pratica annullata)</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 annullata</w:t>
            </w:r>
          </w:p>
        </w:tc>
      </w:tr>
    </w:tbl>
    <w:p>
      <w:pPr>
        <w:spacing w:after="160"/>
      </w:pPr>
    </w:p>
    <w:p>
      <w:pPr>
        <w:spacing w:after="140" w:line="300"/>
      </w:pPr>
      <w:r>
        <w:rPr>
          <w:rFonts w:ascii="Arial" w:cs="Arial" w:eastAsia="Arial" w:hAnsi="Arial"/>
          <w:b/>
          <w:bCs/>
          <w:color w:val="1B2118"/>
          <w:sz w:val="21"/>
          <w:szCs w:val="21"/>
        </w:rPr>
        <w:t xml:space="preserve">Dati del Progetto e del Rapporto.</w:t>
      </w:r>
      <w:r>
        <w:rPr>
          <w:rFonts w:ascii="Arial" w:cs="Arial" w:eastAsia="Arial" w:hAnsi="Arial"/>
          <w:color w:val="1B2118"/>
          <w:sz w:val="21"/>
          <w:szCs w:val="21"/>
        </w:rPr>
        <w:t xml:space="preserve"> Sotto l'intestazione un riquadro riporta: </w:t>
      </w:r>
      <w:r>
        <w:rPr>
          <w:rFonts w:ascii="Arial" w:cs="Arial" w:eastAsia="Arial" w:hAnsi="Arial"/>
          <w:b/>
          <w:bCs/>
          <w:color w:val="1B2118"/>
          <w:sz w:val="21"/>
          <w:szCs w:val="21"/>
        </w:rPr>
        <w:t xml:space="preserve">Territorio (codici ISTAT)</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Co-promotori</w:t>
      </w:r>
      <w:r>
        <w:rPr>
          <w:rFonts w:ascii="Arial" w:cs="Arial" w:eastAsia="Arial" w:hAnsi="Arial"/>
          <w:color w:val="1B2118"/>
          <w:sz w:val="21"/>
          <w:szCs w:val="21"/>
        </w:rPr>
        <w:t xml:space="preserve"> (gli altri soggetti promotori, Guida 3.3.1),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(Progetto) o </w:t>
      </w:r>
      <w:r>
        <w:rPr>
          <w:rFonts w:ascii="Arial" w:cs="Arial" w:eastAsia="Arial" w:hAnsi="Arial"/>
          <w:b/>
          <w:bCs/>
          <w:color w:val="1B2118"/>
          <w:sz w:val="21"/>
          <w:szCs w:val="21"/>
        </w:rPr>
        <w:t xml:space="preserve">Crediti previsti nell'anno</w:t>
      </w:r>
      <w:r>
        <w:rPr>
          <w:rFonts w:ascii="Arial" w:cs="Arial" w:eastAsia="Arial" w:hAnsi="Arial"/>
          <w:color w:val="1B2118"/>
          <w:sz w:val="21"/>
          <w:szCs w:val="21"/>
        </w:rPr>
        <w:t xml:space="preserve"> (Rapporto) e, dopo la chiusura della fase 6, la data di registrazione (</w:t>
      </w:r>
      <w:r>
        <w:rPr>
          <w:rFonts w:ascii="Arial" w:cs="Arial" w:eastAsia="Arial" w:hAnsi="Arial"/>
          <w:b/>
          <w:bCs/>
          <w:color w:val="1B2118"/>
          <w:sz w:val="21"/>
          <w:szCs w:val="21"/>
        </w:rPr>
        <w:t xml:space="preserve">Registrato il</w:t>
      </w:r>
      <w:r>
        <w:rPr>
          <w:rFonts w:ascii="Arial" w:cs="Arial" w:eastAsia="Arial" w:hAnsi="Arial"/>
          <w:color w:val="1B2118"/>
          <w:sz w:val="21"/>
          <w:szCs w:val="21"/>
        </w:rPr>
        <w:t xml:space="preserve"> per il Progetto, che è la sua data di inizio secondo lo Standard 4.5; </w:t>
      </w:r>
      <w:r>
        <w:rPr>
          <w:rFonts w:ascii="Arial" w:cs="Arial" w:eastAsia="Arial" w:hAnsi="Arial"/>
          <w:b/>
          <w:bCs/>
          <w:color w:val="1B2118"/>
          <w:sz w:val="21"/>
          <w:szCs w:val="21"/>
        </w:rPr>
        <w:t xml:space="preserve">Crediti registrati il</w:t>
      </w:r>
      <w:r>
        <w:rPr>
          <w:rFonts w:ascii="Arial" w:cs="Arial" w:eastAsia="Arial" w:hAnsi="Arial"/>
          <w:color w:val="1B2118"/>
          <w:sz w:val="21"/>
          <w:szCs w:val="21"/>
        </w:rPr>
        <w:t xml:space="preserve"> per il Rapporto) e, per il Progetto, il </w:t>
      </w:r>
      <w:r>
        <w:rPr>
          <w:rFonts w:ascii="Arial" w:cs="Arial" w:eastAsia="Arial" w:hAnsi="Arial"/>
          <w:b/>
          <w:bCs/>
          <w:color w:val="1B2118"/>
          <w:sz w:val="21"/>
          <w:szCs w:val="21"/>
        </w:rPr>
        <w:t xml:space="preserve">Listino</w:t>
      </w:r>
      <w:r>
        <w:rPr>
          <w:rFonts w:ascii="Arial" w:cs="Arial" w:eastAsia="Arial" w:hAnsi="Arial"/>
          <w:color w:val="1B2118"/>
          <w:sz w:val="21"/>
          <w:szCs w:val="21"/>
        </w:rPr>
        <w:t xml:space="preserve"> (Caso 1 o Caso 2, sempre obbligatorio: i Progetti aperti prima del 23/10/2026 sono passati a Caso 1 il 25/10/2026, su indicazione di Luca Moretti, con la voce nell'Audit) con il </w:t>
      </w:r>
      <w:r>
        <w:rPr>
          <w:rFonts w:ascii="Arial" w:cs="Arial" w:eastAsia="Arial" w:hAnsi="Arial"/>
          <w:b/>
          <w:bCs/>
          <w:color w:val="1B2118"/>
          <w:sz w:val="21"/>
          <w:szCs w:val="21"/>
        </w:rPr>
        <w:t xml:space="preserve">Valore del progetto per il cliente</w:t>
      </w:r>
      <w:r>
        <w:rPr>
          <w:rFonts w:ascii="Arial" w:cs="Arial" w:eastAsia="Arial" w:hAnsi="Arial"/>
          <w:color w:val="1B2118"/>
          <w:sz w:val="21"/>
          <w:szCs w:val="21"/>
        </w:rPr>
        <w:t xml:space="preserve"> (in 10 anni e all'anno). Il Comune li vede in sola lettura.</w:t>
      </w:r>
    </w:p>
    <w:p>
      <w:pPr>
        <w:spacing w:after="140" w:line="300"/>
      </w:pPr>
      <w:r>
        <w:rPr>
          <w:rFonts w:ascii="Arial" w:cs="Arial" w:eastAsia="Arial" w:hAnsi="Arial"/>
          <w:color w:val="1B2118"/>
          <w:sz w:val="21"/>
          <w:szCs w:val="21"/>
        </w:rPr>
        <w:t xml:space="preserve">Per cambiarli:</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Per un Progetto correggete </w:t>
      </w:r>
      <w:r>
        <w:rPr>
          <w:rFonts w:ascii="Arial" w:cs="Arial" w:eastAsia="Arial" w:hAnsi="Arial"/>
          <w:b/>
          <w:bCs/>
          <w:color w:val="1B2118"/>
          <w:sz w:val="21"/>
          <w:szCs w:val="21"/>
        </w:rPr>
        <w:t xml:space="preserve">Codici ISTAT dei Comuni (6 cifre)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Listino (quanto paga il cliente)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Altri soggetti promotori del progetto</w:t>
      </w:r>
      <w:r>
        <w:rPr>
          <w:rFonts w:ascii="Arial" w:cs="Arial" w:eastAsia="Arial" w:hAnsi="Arial"/>
          <w:color w:val="1B2118"/>
          <w:sz w:val="21"/>
          <w:szCs w:val="21"/>
        </w:rPr>
        <w:t xml:space="preserve"> (uno per riga); per un Rapporto popolazione e crediti previsti nell'anno.</w:t>
      </w:r>
    </w:p>
    <w:p>
      <w:pPr>
        <w:pStyle w:val="ListParagraph"/>
        <w:numPr>
          <w:ilvl w:val="0"/>
          <w:numId w:val="5"/>
        </w:numPr>
        <w:spacing w:after="70" w:line="290"/>
      </w:pPr>
      <w:r>
        <w:rPr>
          <w:rFonts w:ascii="Arial" w:cs="Arial" w:eastAsia="Arial" w:hAnsi="Arial"/>
          <w:color w:val="1B2118"/>
          <w:sz w:val="21"/>
          <w:szCs w:val="21"/>
        </w:rPr>
        <w:t xml:space="preserve">Se serve scrivete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(facoltativa, finisce nell'audit), ad esempio «dati del Modulo di descrizione del progetto».</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i dati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periodo di riferimento vale anche per i Rapporti del Progetto. Non si può passare a un periodo che ammette meno Rapporti di quelli già creati.</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6"/>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registrato</w:t>
      </w:r>
      <w:r>
        <w:rPr>
          <w:rFonts w:ascii="Arial" w:cs="Arial" w:eastAsia="Arial" w:hAnsi="Arial"/>
          <w:color w:val="1B2118"/>
          <w:sz w:val="21"/>
          <w:szCs w:val="21"/>
        </w:rPr>
        <w:t xml:space="preserve">, cioè con la fase 6 «Seconda verifica documentale» completata: prima il pulsante non compare e una riga lo spiega).</w:t>
      </w:r>
    </w:p>
    <w:p>
      <w:pPr>
        <w:pStyle w:val="ListParagraph"/>
        <w:numPr>
          <w:ilvl w:val="0"/>
          <w:numId w:val="6"/>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N/21</w:t>
      </w:r>
      <w:r>
        <w:rPr>
          <w:rFonts w:ascii="Arial" w:cs="Arial" w:eastAsia="Arial" w:hAnsi="Arial"/>
          <w:color w:val="1B2118"/>
          <w:sz w:val="21"/>
          <w:szCs w:val="21"/>
        </w:rPr>
        <w:t xml:space="preserve"> con il periodo di 7 anni rinnovabili)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il periodo di riferimento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con il periodo di 10 anni o fino a 21 con 7 anni rinnovabili 3 volte, in qualsiasi momento mentre il Progetto è attivo. Un Progetto ritirato o annullato non può avere nuovi Rapporti. Ogni Rapporto ha documenti, pagamenti e crediti propri e lo stesso percorso di </w:t>
      </w:r>
      <w:r>
        <w:rPr>
          <w:rFonts w:ascii="Arial" w:cs="Arial" w:eastAsia="Arial" w:hAnsi="Arial"/>
          <w:b/>
          <w:bCs/>
          <w:color w:val="1B2118"/>
          <w:sz w:val="21"/>
          <w:szCs w:val="21"/>
        </w:rPr>
        <w:t xml:space="preserve">7 fasi</w:t>
      </w:r>
      <w:r>
        <w:rPr>
          <w:rFonts w:ascii="Arial" w:cs="Arial" w:eastAsia="Arial" w:hAnsi="Arial"/>
          <w:color w:val="1B2118"/>
          <w:sz w:val="21"/>
          <w:szCs w:val="21"/>
        </w:rPr>
        <w:t xml:space="preserve"> del Progetto, con il feedback pubblico (Guida 6.3.1 e Tabella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7"/>
        <w:gridCol w:w="2955"/>
        <w:gridCol w:w="3306"/>
      </w:tblGrid>
      <w:tr>
        <w:trPr>
          <w:tblHeader/>
        </w:trPr>
        <w:tc>
          <w:tcPr>
            <w:tcW w:type="dxa" w:w="3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295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3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 Nei Rapporti creati prima del 18/10/2026 con 4 fasi, le fasi nuove sono state aggiunte: se il Rapporto era già più avanti risultano </w:t>
      </w:r>
      <w:r>
        <w:rPr>
          <w:rFonts w:ascii="Arial" w:cs="Arial" w:eastAsia="Arial" w:hAnsi="Arial"/>
          <w:i/>
          <w:iCs/>
          <w:color w:val="1B2118"/>
          <w:sz w:val="21"/>
          <w:szCs w:val="21"/>
        </w:rPr>
        <w:t xml:space="preserve">Completate</w:t>
      </w:r>
      <w:r>
        <w:rPr>
          <w:rFonts w:ascii="Arial" w:cs="Arial" w:eastAsia="Arial" w:hAnsi="Arial"/>
          <w:color w:val="1B2118"/>
          <w:sz w:val="21"/>
          <w:szCs w:val="21"/>
        </w:rPr>
        <w:t xml:space="preserve"> con una nota che spiega che non sono state svolte.</w:t>
      </w:r>
    </w:p>
    <w:p>
      <w:pPr>
        <w:spacing w:after="140" w:line="300"/>
      </w:pPr>
      <w:r>
        <w:rPr>
          <w:rFonts w:ascii="Arial" w:cs="Arial" w:eastAsia="Arial" w:hAnsi="Arial"/>
          <w:b/>
          <w:bCs/>
          <w:color w:val="1B2118"/>
          <w:sz w:val="21"/>
          <w:szCs w:val="21"/>
        </w:rPr>
        <w:t xml:space="preserve">Progetti senza Rapporti.</w:t>
      </w:r>
      <w:r>
        <w:rPr>
          <w:rFonts w:ascii="Arial" w:cs="Arial" w:eastAsia="Arial" w:hAnsi="Arial"/>
          <w:color w:val="1B2118"/>
          <w:sz w:val="21"/>
          <w:szCs w:val="21"/>
        </w:rPr>
        <w:t xml:space="preserve"> Se un Progetto registrato da almeno 2 anni non ha alcun Rapporto, lo staff riceve l'avviso «Progetto senza Rapporti da 2 anni»: chiedete al Comune una prova di attività entro 20 giorni (Guida 6.4.1) e caricatela con tipologia </w:t>
      </w:r>
      <w:r>
        <w:rPr>
          <w:rFonts w:ascii="Arial" w:cs="Arial" w:eastAsia="Arial" w:hAnsi="Arial"/>
          <w:i/>
          <w:iCs/>
          <w:color w:val="1B2118"/>
          <w:sz w:val="21"/>
          <w:szCs w:val="21"/>
        </w:rPr>
        <w:t xml:space="preserve">Prova di attività del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rappresentante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Ogni fase indica il proprio </w:t>
      </w:r>
      <w:r>
        <w:rPr>
          <w:rFonts w:ascii="Arial" w:cs="Arial" w:eastAsia="Arial" w:hAnsi="Arial"/>
          <w:b/>
          <w:bCs/>
          <w:color w:val="1B2118"/>
          <w:sz w:val="21"/>
          <w:szCs w:val="21"/>
        </w:rPr>
        <w:t xml:space="preserve">Responsabile</w:t>
      </w:r>
      <w:r>
        <w:rPr>
          <w:rFonts w:ascii="Arial" w:cs="Arial" w:eastAsia="Arial" w:hAnsi="Arial"/>
          <w:color w:val="1B2118"/>
          <w:sz w:val="21"/>
          <w:szCs w:val="21"/>
        </w:rPr>
        <w:t xml:space="preserve"> (promotore del progetto, promotore del programma o ente di validazione e verifica).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3042"/>
        <w:gridCol w:w="4336"/>
      </w:tblGrid>
      <w:tr>
        <w:trPr>
          <w:tblHeader/>
        </w:trPr>
        <w:tc>
          <w:tcPr>
            <w:tcW w:type="dxa" w:w="2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30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3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Verifica sull'accuratezza (+15 gg)</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aperte, una volta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15 giorni alla scadenza (Guida 6.5.2)</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Ulteriore accertamento (+10 gg)</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dopo la verifica sull'accuratezza, fino a 3 volte</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10 giorni alla scadenza</w:t>
            </w:r>
          </w:p>
        </w:tc>
      </w:tr>
    </w:tbl>
    <w:p>
      <w:pPr>
        <w:spacing w:after="160"/>
      </w:pPr>
    </w:p>
    <w:p>
      <w:pPr>
        <w:spacing w:after="140" w:line="300"/>
      </w:pPr>
      <w:r>
        <w:rPr>
          <w:rFonts w:ascii="Arial" w:cs="Arial" w:eastAsia="Arial" w:hAnsi="Arial"/>
          <w:b/>
          <w:bCs/>
          <w:color w:val="1B2118"/>
          <w:sz w:val="21"/>
          <w:szCs w:val="21"/>
        </w:rPr>
        <w:t xml:space="preserve">Verifica sull'accuratezza e accertamenti.</w:t>
      </w:r>
      <w:r>
        <w:rPr>
          <w:rFonts w:ascii="Arial" w:cs="Arial" w:eastAsia="Arial" w:hAnsi="Arial"/>
          <w:color w:val="1B2118"/>
          <w:sz w:val="21"/>
          <w:szCs w:val="21"/>
        </w:rPr>
        <w:t xml:space="preserve"> Nelle due verifiche documentali (fasi 2 e 6), se ci sono dubbi sui dati presentati, premete </w:t>
      </w:r>
      <w:r>
        <w:rPr>
          <w:rFonts w:ascii="Arial" w:cs="Arial" w:eastAsia="Arial" w:hAnsi="Arial"/>
          <w:b/>
          <w:bCs/>
          <w:color w:val="1B2118"/>
          <w:sz w:val="21"/>
          <w:szCs w:val="21"/>
        </w:rPr>
        <w:t xml:space="preserve">Verifica sull'accuratezza (+15 gg)</w:t>
      </w:r>
      <w:r>
        <w:rPr>
          <w:rFonts w:ascii="Arial" w:cs="Arial" w:eastAsia="Arial" w:hAnsi="Arial"/>
          <w:color w:val="1B2118"/>
          <w:sz w:val="21"/>
          <w:szCs w:val="21"/>
        </w:rPr>
        <w:t xml:space="preserve">, scrivete la </w:t>
      </w:r>
      <w:r>
        <w:rPr>
          <w:rFonts w:ascii="Arial" w:cs="Arial" w:eastAsia="Arial" w:hAnsi="Arial"/>
          <w:b/>
          <w:bCs/>
          <w:color w:val="1B2118"/>
          <w:sz w:val="21"/>
          <w:szCs w:val="21"/>
        </w:rPr>
        <w:t xml:space="preserve">Motivazione / rilievi (obbligatoria)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Avvia la verifica</w:t>
      </w:r>
      <w:r>
        <w:rPr>
          <w:rFonts w:ascii="Arial" w:cs="Arial" w:eastAsia="Arial" w:hAnsi="Arial"/>
          <w:color w:val="1B2118"/>
          <w:sz w:val="21"/>
          <w:szCs w:val="21"/>
        </w:rPr>
        <w:t xml:space="preserve">. Dopo la verifica potete registrare fino a 3 accertamenti con </w:t>
      </w:r>
      <w:r>
        <w:rPr>
          <w:rFonts w:ascii="Arial" w:cs="Arial" w:eastAsia="Arial" w:hAnsi="Arial"/>
          <w:b/>
          <w:bCs/>
          <w:color w:val="1B2118"/>
          <w:sz w:val="21"/>
          <w:szCs w:val="21"/>
        </w:rPr>
        <w:t xml:space="preserve">Ulteriore accertamento (+10 gg)</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 l'accertamento</w:t>
      </w:r>
      <w:r>
        <w:rPr>
          <w:rFonts w:ascii="Arial" w:cs="Arial" w:eastAsia="Arial" w:hAnsi="Arial"/>
          <w:color w:val="1B2118"/>
          <w:sz w:val="21"/>
          <w:szCs w:val="21"/>
        </w:rPr>
        <w:t xml:space="preserve">. La fase mostra «Verifica sull'accuratezza avviata · accertamenti: N di 3» e il Comune riceve una notifica con la nuova scadenza. Dopo il terzo accertamento, se le revisioni non sono soddisfacenti, la richiesta non è accettata e si può ripresentare dopo 6 mesi.</w:t>
      </w:r>
    </w:p>
    <w:p>
      <w:pPr>
        <w:spacing w:after="140" w:line="300"/>
      </w:pPr>
      <w:r>
        <w:rPr>
          <w:rFonts w:ascii="Arial" w:cs="Arial" w:eastAsia="Arial" w:hAnsi="Arial"/>
          <w:b/>
          <w:bCs/>
          <w:color w:val="1B2118"/>
          <w:sz w:val="21"/>
          <w:szCs w:val="21"/>
        </w:rPr>
        <w:t xml:space="preserve">Attività sospese per fatture scadute.</w:t>
      </w:r>
      <w:r>
        <w:rPr>
          <w:rFonts w:ascii="Arial" w:cs="Arial" w:eastAsia="Arial" w:hAnsi="Arial"/>
          <w:color w:val="1B2118"/>
          <w:sz w:val="21"/>
          <w:szCs w:val="21"/>
        </w:rPr>
        <w:t xml:space="preserve"> Se la pratica ha una voce di pagamento scaduta e non pagata, il portale non apre nuove fasi e risponde «Attività sospese fino al saldo: c'è una fattura scaduta non pagata (Schema tariffario)». Registrate l'incasso per proseguire (capitolo «Pagamenti»).</w:t>
      </w:r>
    </w:p>
    <w:p>
      <w:pPr>
        <w:spacing w:after="140" w:line="300"/>
      </w:pPr>
      <w:r>
        <w:rPr>
          <w:rFonts w:ascii="Arial" w:cs="Arial" w:eastAsia="Arial" w:hAnsi="Arial"/>
          <w:b/>
          <w:bCs/>
          <w:color w:val="1B2118"/>
          <w:sz w:val="21"/>
          <w:szCs w:val="21"/>
        </w:rPr>
        <w:t xml:space="preserve">Iscrizione prima della fase 5.</w:t>
      </w:r>
      <w:r>
        <w:rPr>
          <w:rFonts w:ascii="Arial" w:cs="Arial" w:eastAsia="Arial" w:hAnsi="Arial"/>
          <w:color w:val="1B2118"/>
          <w:sz w:val="21"/>
          <w:szCs w:val="21"/>
        </w:rPr>
        <w:t xml:space="preserve"> La fase 5 (validazione del Progetto o verifica del Rapporto) non si apre finché la voce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della pratica non è pagata (Guida 6.2.1 e 6.3.1).</w:t>
      </w:r>
    </w:p>
    <w:p>
      <w:pPr>
        <w:spacing w:after="140" w:line="300"/>
      </w:pPr>
      <w:r>
        <w:rPr>
          <w:rFonts w:ascii="Arial" w:cs="Arial" w:eastAsia="Arial" w:hAnsi="Arial"/>
          <w:b/>
          <w:bCs/>
          <w:color w:val="1B2118"/>
          <w:sz w:val="21"/>
          <w:szCs w:val="21"/>
        </w:rPr>
        <w:t xml:space="preserve">Ente prima della fase 5.</w:t>
      </w:r>
      <w:r>
        <w:rPr>
          <w:rFonts w:ascii="Arial" w:cs="Arial" w:eastAsia="Arial" w:hAnsi="Arial"/>
          <w:color w:val="1B2118"/>
          <w:sz w:val="21"/>
          <w:szCs w:val="21"/>
        </w:rPr>
        <w:t xml:space="preserve"> La fase 5 si apre solo se la pratica ha un ente di validazione e verifica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assegnato (Guida 6.2.3: la validazione la svolge l'ente incaricato). Senza ente, al posto di </w:t>
      </w:r>
      <w:r>
        <w:rPr>
          <w:rFonts w:ascii="Arial" w:cs="Arial" w:eastAsia="Arial" w:hAnsi="Arial"/>
          <w:b/>
          <w:bCs/>
          <w:color w:val="1B2118"/>
          <w:sz w:val="21"/>
          <w:szCs w:val="21"/>
        </w:rPr>
        <w:t xml:space="preserve">Apri fase</w:t>
      </w:r>
      <w:r>
        <w:rPr>
          <w:rFonts w:ascii="Arial" w:cs="Arial" w:eastAsia="Arial" w:hAnsi="Arial"/>
          <w:color w:val="1B2118"/>
          <w:sz w:val="21"/>
          <w:szCs w:val="21"/>
        </w:rPr>
        <w:t xml:space="preserve"> compare «Per aprire la fase 5 assegna prima l'ente di validazione e verifica». Con la fase 5 aperta l'ente si può sostituire ma non togliere.</w:t>
      </w:r>
    </w:p>
    <w:p>
      <w:pPr>
        <w:spacing w:after="140" w:line="300"/>
      </w:pPr>
      <w:r>
        <w:rPr>
          <w:rFonts w:ascii="Arial" w:cs="Arial" w:eastAsia="Arial" w:hAnsi="Arial"/>
          <w:b/>
          <w:bCs/>
          <w:color w:val="1B2118"/>
          <w:sz w:val="21"/>
          <w:szCs w:val="21"/>
        </w:rPr>
        <w:t xml:space="preserve">Fase 3 e feedback pubblico.</w:t>
      </w:r>
      <w:r>
        <w:rPr>
          <w:rFonts w:ascii="Arial" w:cs="Arial" w:eastAsia="Arial" w:hAnsi="Arial"/>
          <w:color w:val="1B2118"/>
          <w:sz w:val="21"/>
          <w:szCs w:val="21"/>
        </w:rPr>
        <w:t xml:space="preserve"> La fase 3 è il feedback pubblico: si apre da sola quando aprite il feedback e la sua scadenza è l'ultimo giorno del feedback. Si chiude solo dal giorno dopo il termine, insieme al feedback (capitolo «Feedback pubblico»).</w:t>
      </w: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(il portale ha già quelli della Guida, capitolo «Impostazioni»),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e verifica»,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7922"/>
      </w:tblGrid>
      <w:tr>
        <w:trPr>
          <w:tblHeader/>
        </w:trPr>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7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(anche per controllo di qualità),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Ritirato</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Rientro nel Programma</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7"/>
        </w:numPr>
        <w:spacing w:after="70" w:line="290"/>
      </w:pPr>
      <w:r>
        <w:rPr>
          <w:rFonts w:ascii="Arial" w:cs="Arial" w:eastAsia="Arial" w:hAnsi="Arial"/>
          <w:color w:val="1B2118"/>
          <w:sz w:val="21"/>
          <w:szCs w:val="21"/>
        </w:rPr>
        <w:t xml:space="preserve">Premete il pulsante desiderato.</w:t>
      </w:r>
    </w:p>
    <w:p>
      <w:pPr>
        <w:pStyle w:val="ListParagraph"/>
        <w:numPr>
          <w:ilvl w:val="0"/>
          <w:numId w:val="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chiusa o ritirata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Sospensione e controllo di qualità.</w:t>
      </w:r>
      <w:r>
        <w:rPr>
          <w:rFonts w:ascii="Arial" w:cs="Arial" w:eastAsia="Arial" w:hAnsi="Arial"/>
          <w:color w:val="1B2118"/>
          <w:sz w:val="21"/>
          <w:szCs w:val="21"/>
        </w:rPr>
        <w:t xml:space="preserve"> La sospensione si usa anche per il controllo di qualità della Guida 6.4.2: con il Rapporto o il Progetto sospeso non si possono emettere crediti.</w:t>
      </w:r>
    </w:p>
    <w:p>
      <w:pPr>
        <w:spacing w:after="140" w:line="300"/>
      </w:pPr>
      <w:r>
        <w:rPr>
          <w:rFonts w:ascii="Arial" w:cs="Arial" w:eastAsia="Arial" w:hAnsi="Arial"/>
          <w:b/>
          <w:bCs/>
          <w:color w:val="1B2118"/>
          <w:sz w:val="21"/>
          <w:szCs w:val="21"/>
        </w:rPr>
        <w:t xml:space="preserve">Ritiro e rientro del Progetto (Guida 6.4.1).</w:t>
      </w:r>
      <w:r>
        <w:rPr>
          <w:rFonts w:ascii="Arial" w:cs="Arial" w:eastAsia="Arial" w:hAnsi="Arial"/>
          <w:color w:val="1B2118"/>
          <w:sz w:val="21"/>
          <w:szCs w:val="21"/>
        </w:rPr>
        <w:t xml:space="preserve"> Il ritiro riguarda solo i Progetti, non i singoli Rapporti, e si fa su lettera di tutti i promotori del progetto (nome, ID, motivo), che si può caricare con tipologia </w:t>
      </w:r>
      <w:r>
        <w:rPr>
          <w:rFonts w:ascii="Arial" w:cs="Arial" w:eastAsia="Arial" w:hAnsi="Arial"/>
          <w:i/>
          <w:iCs/>
          <w:color w:val="1B2118"/>
          <w:sz w:val="21"/>
          <w:szCs w:val="21"/>
        </w:rPr>
        <w:t xml:space="preserve">Richiesta di ritiro o di rientro del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Ritira il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Nella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indicate gli estremi della lettera.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pratica diventa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e il Comune riceve la notifica «Progetto ritirato dal Programma».</w:t>
      </w:r>
    </w:p>
    <w:p>
      <w:pPr>
        <w:spacing w:after="60"/>
      </w:pPr>
    </w:p>
    <w:p>
      <w:pPr>
        <w:spacing w:after="140" w:line="300"/>
      </w:pPr>
      <w:r>
        <w:rPr>
          <w:rFonts w:ascii="Arial" w:cs="Arial" w:eastAsia="Arial" w:hAnsi="Arial"/>
          <w:color w:val="1B2118"/>
          <w:sz w:val="21"/>
          <w:szCs w:val="21"/>
        </w:rPr>
        <w:t xml:space="preserve">Il Progetto ritirato resta sulla pagina pubblica del Programma, ma non emette più crediti né può avere nuovi Rapporti, e non occupa più il suo territorio. Da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si può solo rientrare, con una nuova lettera: </w:t>
      </w:r>
      <w:r>
        <w:rPr>
          <w:rFonts w:ascii="Arial" w:cs="Arial" w:eastAsia="Arial" w:hAnsi="Arial"/>
          <w:b/>
          <w:bCs/>
          <w:color w:val="1B2118"/>
          <w:sz w:val="21"/>
          <w:szCs w:val="21"/>
        </w:rPr>
        <w:t xml:space="preserve">Rientro nel Programma</w:t>
      </w:r>
      <w:r>
        <w:rPr>
          <w:rFonts w:ascii="Arial" w:cs="Arial" w:eastAsia="Arial" w:hAnsi="Arial"/>
          <w:color w:val="1B2118"/>
          <w:sz w:val="21"/>
          <w:szCs w:val="21"/>
        </w:rPr>
        <w:t xml:space="preserve"> riporta la pratica ad </w:t>
      </w:r>
      <w:r>
        <w:rPr>
          <w:rFonts w:ascii="Arial" w:cs="Arial" w:eastAsia="Arial" w:hAnsi="Arial"/>
          <w:i/>
          <w:iCs/>
          <w:color w:val="1B2118"/>
          <w:sz w:val="21"/>
          <w:szCs w:val="21"/>
        </w:rPr>
        <w:t xml:space="preserve">Attiva</w:t>
      </w:r>
      <w:r>
        <w:rPr>
          <w:rFonts w:ascii="Arial" w:cs="Arial" w:eastAsia="Arial" w:hAnsi="Arial"/>
          <w:color w:val="1B2118"/>
          <w:sz w:val="21"/>
          <w:szCs w:val="21"/>
        </w:rPr>
        <w:t xml:space="preserve"> e il Comune riceve «Progetto rientrato nel Programma». Se nel frattempo lo stesso territorio è entrato in un altro Progetto, il rientro viene rifiutato.</w:t>
      </w:r>
    </w:p>
    <w:p>
      <w:pPr>
        <w:spacing w:after="140" w:line="300"/>
      </w:pPr>
      <w:r>
        <w:rPr>
          <w:rFonts w:ascii="Arial" w:cs="Arial" w:eastAsia="Arial" w:hAnsi="Arial"/>
          <w:b/>
          <w:bCs/>
          <w:color w:val="1B2118"/>
          <w:sz w:val="21"/>
          <w:szCs w:val="21"/>
        </w:rPr>
        <w:t xml:space="preserve">Conservazione per 12 anni.</w:t>
      </w:r>
      <w:r>
        <w:rPr>
          <w:rFonts w:ascii="Arial" w:cs="Arial" w:eastAsia="Arial" w:hAnsi="Arial"/>
          <w:color w:val="1B2118"/>
          <w:sz w:val="21"/>
          <w:szCs w:val="21"/>
        </w:rPr>
        <w:t xml:space="preserve"> Nulla si cancella dal portale: pratiche, fasi, documenti, feedback pubblici, pagamenti, crediti e anagrafiche restano. Quando una pratica viene chiusa, annullata o ritirata,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(12 anni dopo, Guida 6.2.1 e 6.5.1); se la pratica viene riattivata la data sparisce. Le date già calcolate con i vecchi 10 anni sono state prolungate di 2 anni.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documentazione amministrativa, deleghe, comunicazioni).</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dall'elenco (i nomi ufficiali della Guida al Programma, vedi sotto).</w:t>
      </w:r>
    </w:p>
    <w:p>
      <w:pPr>
        <w:pStyle w:val="ListParagraph"/>
        <w:numPr>
          <w:ilvl w:val="0"/>
          <w:numId w:val="9"/>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Tipologie di documento.</w:t>
      </w:r>
      <w:r>
        <w:rPr>
          <w:rFonts w:ascii="Arial" w:cs="Arial" w:eastAsia="Arial" w:hAnsi="Arial"/>
          <w:color w:val="1B2118"/>
          <w:sz w:val="21"/>
          <w:szCs w:val="21"/>
        </w:rPr>
        <w:t xml:space="preserve"> L'elenco propone le tipologie ufficiali:</w:t>
      </w:r>
    </w:p>
    <w:p>
      <w:pPr>
        <w:pStyle w:val="ListParagraph"/>
        <w:numPr>
          <w:ilvl w:val="0"/>
          <w:numId w:val="2"/>
        </w:numPr>
        <w:spacing w:after="70" w:line="290"/>
      </w:pPr>
      <w:r>
        <w:rPr>
          <w:rFonts w:ascii="Arial" w:cs="Arial" w:eastAsia="Arial" w:hAnsi="Arial"/>
          <w:i/>
          <w:iCs/>
          <w:color w:val="1B2118"/>
          <w:sz w:val="21"/>
          <w:szCs w:val="21"/>
        </w:rPr>
        <w:t xml:space="preserve">documenti del Progetto</w:t>
      </w:r>
      <w:r>
        <w:rPr>
          <w:rFonts w:ascii="Arial" w:cs="Arial" w:eastAsia="Arial" w:hAnsi="Arial"/>
          <w:color w:val="1B2118"/>
          <w:sz w:val="21"/>
          <w:szCs w:val="21"/>
        </w:rPr>
        <w:t xml:space="preserve">: Modulo di descrizione del progetto; Modulo di descrizione del progetto – versione privata; Documento di proprietà del progetto; Contratto con l'ente di validazione e verifica; Documento riassuntivo delle risultanze del periodo di feedback pubblico; Rapporto di validazione;</w:t>
      </w:r>
    </w:p>
    <w:p>
      <w:pPr>
        <w:pStyle w:val="ListParagraph"/>
        <w:numPr>
          <w:ilvl w:val="0"/>
          <w:numId w:val="2"/>
        </w:numPr>
        <w:spacing w:after="70" w:line="290"/>
      </w:pPr>
      <w:r>
        <w:rPr>
          <w:rFonts w:ascii="Arial" w:cs="Arial" w:eastAsia="Arial" w:hAnsi="Arial"/>
          <w:i/>
          <w:iCs/>
          <w:color w:val="1B2118"/>
          <w:sz w:val="21"/>
          <w:szCs w:val="21"/>
        </w:rPr>
        <w:t xml:space="preserve">documenti del Rapporto</w:t>
      </w:r>
      <w:r>
        <w:rPr>
          <w:rFonts w:ascii="Arial" w:cs="Arial" w:eastAsia="Arial" w:hAnsi="Arial"/>
          <w:color w:val="1B2118"/>
          <w:sz w:val="21"/>
          <w:szCs w:val="21"/>
        </w:rPr>
        <w:t xml:space="preserve">: Modulo di descrizione del rapporto di monitoraggio; Rapporto di verifica; Dichiarazione relativa all'effettività della generazione dei crediti;</w:t>
      </w:r>
    </w:p>
    <w:p>
      <w:pPr>
        <w:pStyle w:val="ListParagraph"/>
        <w:numPr>
          <w:ilvl w:val="0"/>
          <w:numId w:val="2"/>
        </w:numPr>
        <w:spacing w:after="70" w:line="290"/>
      </w:pPr>
      <w:r>
        <w:rPr>
          <w:rFonts w:ascii="Arial" w:cs="Arial" w:eastAsia="Arial" w:hAnsi="Arial"/>
          <w:i/>
          <w:iCs/>
          <w:color w:val="1B2118"/>
          <w:sz w:val="21"/>
          <w:szCs w:val="21"/>
        </w:rPr>
        <w:t xml:space="preserve">moduli e comunicazioni</w:t>
      </w:r>
      <w:r>
        <w:rPr>
          <w:rFonts w:ascii="Arial" w:cs="Arial" w:eastAsia="Arial" w:hAnsi="Arial"/>
          <w:color w:val="1B2118"/>
          <w:sz w:val="21"/>
          <w:szCs w:val="21"/>
        </w:rPr>
        <w:t xml:space="preserve">: Modulo di delega di rappresentanza; Modulo di adesione a un progetto; Modulo di recesso da un progetto; Richiesta di ritiro o di rientro del progetto; Prova di attività del progetto; Comunicazione di vendita dei crediti; Dichiarazione di cancellazione tombale dei crediti;</w:t>
      </w:r>
    </w:p>
    <w:p>
      <w:pPr>
        <w:pStyle w:val="ListParagraph"/>
        <w:numPr>
          <w:ilvl w:val="0"/>
          <w:numId w:val="2"/>
        </w:numPr>
        <w:spacing w:after="70" w:line="290"/>
      </w:pPr>
      <w:r>
        <w:rPr>
          <w:rFonts w:ascii="Arial" w:cs="Arial" w:eastAsia="Arial" w:hAnsi="Arial"/>
          <w:i/>
          <w:iCs/>
          <w:color w:val="1B2118"/>
          <w:sz w:val="21"/>
          <w:szCs w:val="21"/>
        </w:rPr>
        <w:t xml:space="preserve">documenti di lavoro</w:t>
      </w:r>
      <w:r>
        <w:rPr>
          <w:rFonts w:ascii="Arial" w:cs="Arial" w:eastAsia="Arial" w:hAnsi="Arial"/>
          <w:color w:val="1B2118"/>
          <w:sz w:val="21"/>
          <w:szCs w:val="21"/>
        </w:rPr>
        <w:t xml:space="preserve">: Documentazione amministrativa; Rapporto di calcolo dei crediti; Integrazione; Altro.</w:t>
      </w:r>
    </w:p>
    <w:p>
      <w:pPr>
        <w:spacing w:after="140" w:line="300"/>
      </w:pPr>
      <w:r>
        <w:rPr>
          <w:rFonts w:ascii="Arial" w:cs="Arial" w:eastAsia="Arial" w:hAnsi="Arial"/>
          <w:color w:val="1B2118"/>
          <w:sz w:val="21"/>
          <w:szCs w:val="21"/>
        </w:rPr>
        <w:t xml:space="preserve">I documenti caricati prima con le vecchie tipologie le conservano.</w:t>
      </w:r>
    </w:p>
    <w:p>
      <w:pPr>
        <w:spacing w:after="140" w:line="300"/>
      </w:pPr>
      <w:r>
        <w:rPr>
          <w:rFonts w:ascii="Arial" w:cs="Arial" w:eastAsia="Arial" w:hAnsi="Arial"/>
          <w:b/>
          <w:bCs/>
          <w:color w:val="1B2118"/>
          <w:sz w:val="21"/>
          <w:szCs w:val="21"/>
        </w:rPr>
        <w:t xml:space="preserve">Documenti riservati.</w:t>
      </w:r>
      <w:r>
        <w:rPr>
          <w:rFonts w:ascii="Arial" w:cs="Arial" w:eastAsia="Arial" w:hAnsi="Arial"/>
          <w:color w:val="1B2118"/>
          <w:sz w:val="21"/>
          <w:szCs w:val="21"/>
        </w:rPr>
        <w:t xml:space="preserve"> Il </w:t>
      </w:r>
      <w:r>
        <w:rPr>
          <w:rFonts w:ascii="Arial" w:cs="Arial" w:eastAsia="Arial" w:hAnsi="Arial"/>
          <w:i/>
          <w:iCs/>
          <w:color w:val="1B2118"/>
          <w:sz w:val="21"/>
          <w:szCs w:val="21"/>
        </w:rPr>
        <w:t xml:space="preserve">Contratto con l'ente di validazione e verifica</w:t>
      </w:r>
      <w:r>
        <w:rPr>
          <w:rFonts w:ascii="Arial" w:cs="Arial" w:eastAsia="Arial" w:hAnsi="Arial"/>
          <w:color w:val="1B2118"/>
          <w:sz w:val="21"/>
          <w:szCs w:val="21"/>
        </w:rPr>
        <w:t xml:space="preserve"> (Guida 7.3) e il </w:t>
      </w:r>
      <w:r>
        <w:rPr>
          <w:rFonts w:ascii="Arial" w:cs="Arial" w:eastAsia="Arial" w:hAnsi="Arial"/>
          <w:i/>
          <w:iCs/>
          <w:color w:val="1B2118"/>
          <w:sz w:val="21"/>
          <w:szCs w:val="21"/>
        </w:rPr>
        <w:t xml:space="preserve">Modulo di descrizione del progetto – versione privata</w:t>
      </w:r>
      <w:r>
        <w:rPr>
          <w:rFonts w:ascii="Arial" w:cs="Arial" w:eastAsia="Arial" w:hAnsi="Arial"/>
          <w:color w:val="1B2118"/>
          <w:sz w:val="21"/>
          <w:szCs w:val="21"/>
        </w:rPr>
        <w:t xml:space="preserve"> (Guida 7.1) </w:t>
      </w:r>
      <w:r>
        <w:rPr>
          <w:rFonts w:ascii="Arial" w:cs="Arial" w:eastAsia="Arial" w:hAnsi="Arial"/>
          <w:b/>
          <w:bCs/>
          <w:color w:val="1B2118"/>
          <w:sz w:val="21"/>
          <w:szCs w:val="21"/>
        </w:rPr>
        <w:t xml:space="preserve">non possono mai essere pubblici</w:t>
      </w:r>
      <w:r>
        <w:rPr>
          <w:rFonts w:ascii="Arial" w:cs="Arial" w:eastAsia="Arial" w:hAnsi="Arial"/>
          <w:color w:val="1B2118"/>
          <w:sz w:val="21"/>
          <w:szCs w:val="21"/>
        </w:rPr>
        <w:t xml:space="preserv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è disattivata (sulla riga compare «Pubblico (non ammesso)») e il portale rifiuta comunque la pubblicazione. Non compaiono mai sulla pagina pubblica del Programma.</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feedback pubblico attivo (vedi «Feedback pubblico») e per i documenti riservati; la modifica è registrata nell'audit. I documenti pubblici delle pratiche compaiono sulla pagina pubblica del Programma. I rapporti di RINA vanno caricati con tipologia </w:t>
      </w:r>
      <w:r>
        <w:rPr>
          <w:rFonts w:ascii="Arial" w:cs="Arial" w:eastAsia="Arial" w:hAnsi="Arial"/>
          <w:i/>
          <w:iCs/>
          <w:color w:val="1B2118"/>
          <w:sz w:val="21"/>
          <w:szCs w:val="21"/>
        </w:rPr>
        <w:t xml:space="preserve">Rapporto di validazione</w:t>
      </w:r>
      <w:r>
        <w:rPr>
          <w:rFonts w:ascii="Arial" w:cs="Arial" w:eastAsia="Arial" w:hAnsi="Arial"/>
          <w:color w:val="1B2118"/>
          <w:sz w:val="21"/>
          <w:szCs w:val="21"/>
        </w:rPr>
        <w:t xml:space="preserve"> (Progetto) o </w:t>
      </w:r>
      <w:r>
        <w:rPr>
          <w:rFonts w:ascii="Arial" w:cs="Arial" w:eastAsia="Arial" w:hAnsi="Arial"/>
          <w:i/>
          <w:iCs/>
          <w:color w:val="1B2118"/>
          <w:sz w:val="21"/>
          <w:szCs w:val="21"/>
        </w:rPr>
        <w:t xml:space="preserve">Rapporto di verifica</w:t>
      </w:r>
      <w:r>
        <w:rPr>
          <w:rFonts w:ascii="Arial" w:cs="Arial" w:eastAsia="Arial" w:hAnsi="Arial"/>
          <w:color w:val="1B2118"/>
          <w:sz w:val="21"/>
          <w:szCs w:val="21"/>
        </w:rPr>
        <w:t xml:space="preserve"> (Rapporto): nel fascicolo esportato finiscono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10"/>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10"/>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10"/>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Nella Dashboard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Feedback pubblico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(Guida 3.9; prima nel portale si chiamava «consultazione pubblica») è la fase 3 sia dei Progetti sia dei Rapporti di Monitoraggio. Dura quanto la fase 3 in Impostazioni: di norma </w:t>
      </w:r>
      <w:r>
        <w:rPr>
          <w:rFonts w:ascii="Arial" w:cs="Arial" w:eastAsia="Arial" w:hAnsi="Arial"/>
          <w:b/>
          <w:bCs/>
          <w:color w:val="1B2118"/>
          <w:sz w:val="21"/>
          <w:szCs w:val="21"/>
        </w:rPr>
        <w:t xml:space="preserve">30 giorni</w:t>
      </w:r>
      <w:r>
        <w:rPr>
          <w:rFonts w:ascii="Arial" w:cs="Arial" w:eastAsia="Arial" w:hAnsi="Arial"/>
          <w:color w:val="1B2118"/>
          <w:sz w:val="21"/>
          <w:szCs w:val="21"/>
        </w:rPr>
        <w:t xml:space="preserve"> per il Progetto e </w:t>
      </w:r>
      <w:r>
        <w:rPr>
          <w:rFonts w:ascii="Arial" w:cs="Arial" w:eastAsia="Arial" w:hAnsi="Arial"/>
          <w:b/>
          <w:bCs/>
          <w:color w:val="1B2118"/>
          <w:sz w:val="21"/>
          <w:szCs w:val="21"/>
        </w:rPr>
        <w:t xml:space="preserve">20 giorni</w:t>
      </w:r>
      <w:r>
        <w:rPr>
          <w:rFonts w:ascii="Arial" w:cs="Arial" w:eastAsia="Arial" w:hAnsi="Arial"/>
          <w:color w:val="1B2118"/>
          <w:sz w:val="21"/>
          <w:szCs w:val="21"/>
        </w:rPr>
        <w:t xml:space="preserve"> per il Rapporto.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intitolata «Feedback pubblico»), aperta a tutti senza credenziali e collegata dalla pagina di accesso e dalla pagina pubblica del Programma.</w:t>
      </w:r>
    </w:p>
    <w:p>
      <w:pPr>
        <w:spacing w:after="140" w:line="300"/>
      </w:pPr>
      <w:r>
        <w:rPr>
          <w:rFonts w:ascii="Arial" w:cs="Arial" w:eastAsia="Arial" w:hAnsi="Arial"/>
          <w:b/>
          <w:bCs/>
          <w:color w:val="1B2118"/>
          <w:sz w:val="21"/>
          <w:szCs w:val="21"/>
        </w:rPr>
        <w:t xml:space="preserve">Aprire il feedback pubblico</w:t>
      </w:r>
    </w:p>
    <w:p>
      <w:pPr>
        <w:pStyle w:val="ListParagraph"/>
        <w:numPr>
          <w:ilvl w:val="0"/>
          <w:numId w:val="11"/>
        </w:numPr>
        <w:spacing w:after="70" w:line="290"/>
      </w:pPr>
      <w:r>
        <w:rPr>
          <w:rFonts w:ascii="Arial" w:cs="Arial" w:eastAsia="Arial" w:hAnsi="Arial"/>
          <w:color w:val="1B2118"/>
          <w:sz w:val="21"/>
          <w:szCs w:val="21"/>
        </w:rPr>
        <w:t xml:space="preserve">Caricate prima il documento da sottoporre al feedback (capitolo «Documenti e visibilità»).</w:t>
      </w:r>
    </w:p>
    <w:p>
      <w:pPr>
        <w:pStyle w:val="ListParagraph"/>
        <w:numPr>
          <w:ilvl w:val="0"/>
          <w:numId w:val="11"/>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della pratica scegliete il documento.</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il feedback pubblico</w:t>
      </w:r>
      <w:r>
        <w:rPr>
          <w:rFonts w:ascii="Arial" w:cs="Arial" w:eastAsia="Arial" w:hAnsi="Arial"/>
          <w:color w:val="1B2118"/>
          <w:sz w:val="21"/>
          <w:szCs w:val="21"/>
        </w:rPr>
        <w:t xml:space="preserve">. Il periodo va da oggi a oggi più i giorni della fase 3 (date in ora italiana), il Comune riceve la notifica «Aperto il periodo di feedback pubblico» e il periodo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il feedback è attivo: non se ne possono cambiare visibilità, tipologia o fase. Per sostituirlo si usa l'errata corrige. C'è un solo feedback pubblico attivo alla volta per pratica.</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 Nella fase 4 il Comune carica il </w:t>
      </w:r>
      <w:r>
        <w:rPr>
          <w:rFonts w:ascii="Arial" w:cs="Arial" w:eastAsia="Arial" w:hAnsi="Arial"/>
          <w:i/>
          <w:iCs/>
          <w:color w:val="1B2118"/>
          <w:sz w:val="21"/>
          <w:szCs w:val="21"/>
        </w:rPr>
        <w:t xml:space="preserve">Documento riassuntivo delle risultanze del periodo di feedback pubblico</w:t>
      </w:r>
      <w:r>
        <w:rPr>
          <w:rFonts w:ascii="Arial" w:cs="Arial" w:eastAsia="Arial" w:hAnsi="Arial"/>
          <w:color w:val="1B2118"/>
          <w:sz w:val="21"/>
          <w:szCs w:val="21"/>
        </w:rPr>
        <w:t xml:space="preserve">, anche se non ci sono state osservazioni.</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feedback contiene un errore:</w:t>
      </w:r>
    </w:p>
    <w:p>
      <w:pPr>
        <w:pStyle w:val="ListParagraph"/>
        <w:numPr>
          <w:ilvl w:val="0"/>
          <w:numId w:val="12"/>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2"/>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N giorni da oggi</w:t>
      </w:r>
      <w:r>
        <w:rPr>
          <w:rFonts w:ascii="Arial" w:cs="Arial" w:eastAsia="Arial" w:hAnsi="Arial"/>
          <w:color w:val="1B2118"/>
          <w:sz w:val="21"/>
          <w:szCs w:val="21"/>
        </w:rPr>
        <w:t xml:space="preserve"> (N = durata del feedback della pratica, 30 o 20):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il feedback pubblico.</w:t>
      </w:r>
      <w:r>
        <w:rPr>
          <w:rFonts w:ascii="Arial" w:cs="Arial" w:eastAsia="Arial" w:hAnsi="Arial"/>
          <w:color w:val="1B2118"/>
          <w:sz w:val="21"/>
          <w:szCs w:val="21"/>
        </w:rPr>
        <w:t xml:space="preserve"> Il periodo comprende l'ultimo giorno indicato (ora italiana). Fino a quel giorno il riquadro mostra «Il feedback resta aperto fino al … compreso: si chiude dal giorno successivo» e non c'è un pulsante di chiusura. Dal giorno dopo il portale non accetta più osservazioni e lo stato si chiude con </w:t>
      </w:r>
      <w:r>
        <w:rPr>
          <w:rFonts w:ascii="Arial" w:cs="Arial" w:eastAsia="Arial" w:hAnsi="Arial"/>
          <w:b/>
          <w:bCs/>
          <w:color w:val="1B2118"/>
          <w:sz w:val="21"/>
          <w:szCs w:val="21"/>
        </w:rPr>
        <w:t xml:space="preserve">Chiudi il feedback pubblico e la fase 3</w:t>
      </w:r>
      <w:r>
        <w:rPr>
          <w:rFonts w:ascii="Arial" w:cs="Arial" w:eastAsia="Arial" w:hAnsi="Arial"/>
          <w:color w:val="1B2118"/>
          <w:sz w:val="21"/>
          <w:szCs w:val="21"/>
        </w:rPr>
        <w:t xml:space="preserve">: feedback e fase 3 si chiudono insieme. Anche </w:t>
      </w:r>
      <w:r>
        <w:rPr>
          <w:rFonts w:ascii="Arial" w:cs="Arial" w:eastAsia="Arial" w:hAnsi="Arial"/>
          <w:b/>
          <w:bCs/>
          <w:color w:val="1B2118"/>
          <w:sz w:val="21"/>
          <w:szCs w:val="21"/>
        </w:rPr>
        <w:t xml:space="preserve">Chiudi fase</w:t>
      </w:r>
      <w:r>
        <w:rPr>
          <w:rFonts w:ascii="Arial" w:cs="Arial" w:eastAsia="Arial" w:hAnsi="Arial"/>
          <w:color w:val="1B2118"/>
          <w:sz w:val="21"/>
          <w:szCs w:val="21"/>
        </w:rPr>
        <w:t xml:space="preserve"> sulla fase 3 è rifiutato prima del termine e, dopo il termine, chiude il feedback.</w:t>
      </w:r>
    </w:p>
    <w:p>
      <w:pPr>
        <w:spacing w:after="140" w:line="300"/>
      </w:pPr>
      <w:r>
        <w:rPr>
          <w:rFonts w:ascii="Arial" w:cs="Arial" w:eastAsia="Arial" w:hAnsi="Arial"/>
          <w:b/>
          <w:bCs/>
          <w:color w:val="1B2118"/>
          <w:sz w:val="21"/>
          <w:szCs w:val="21"/>
        </w:rPr>
        <w:t xml:space="preserve">Chiusura anticipata.</w:t>
      </w:r>
      <w:r>
        <w:rPr>
          <w:rFonts w:ascii="Arial" w:cs="Arial" w:eastAsia="Arial" w:hAnsi="Arial"/>
          <w:color w:val="1B2118"/>
          <w:sz w:val="21"/>
          <w:szCs w:val="21"/>
        </w:rPr>
        <w:t xml:space="preserve"> È ammessa solo se la pratica è </w:t>
      </w:r>
      <w:r>
        <w:rPr>
          <w:rFonts w:ascii="Arial" w:cs="Arial" w:eastAsia="Arial" w:hAnsi="Arial"/>
          <w:b/>
          <w:bCs/>
          <w:color w:val="1B2118"/>
          <w:sz w:val="21"/>
          <w:szCs w:val="21"/>
        </w:rPr>
        <w:t xml:space="preserve">annullata, ritirata o chiusa</w:t>
      </w:r>
      <w:r>
        <w:rPr>
          <w:rFonts w:ascii="Arial" w:cs="Arial" w:eastAsia="Arial" w:hAnsi="Arial"/>
          <w:color w:val="1B2118"/>
          <w:sz w:val="21"/>
          <w:szCs w:val="21"/>
        </w:rPr>
        <w:t xml:space="preserve">. Compare </w:t>
      </w:r>
      <w:r>
        <w:rPr>
          <w:rFonts w:ascii="Arial" w:cs="Arial" w:eastAsia="Arial" w:hAnsi="Arial"/>
          <w:b/>
          <w:bCs/>
          <w:color w:val="1B2118"/>
          <w:sz w:val="21"/>
          <w:szCs w:val="21"/>
        </w:rPr>
        <w:t xml:space="preserve">Chiudi ora: pratica …</w:t>
      </w:r>
      <w:r>
        <w:rPr>
          <w:rFonts w:ascii="Arial" w:cs="Arial" w:eastAsia="Arial" w:hAnsi="Arial"/>
          <w:color w:val="1B2118"/>
          <w:sz w:val="21"/>
          <w:szCs w:val="21"/>
        </w:rPr>
        <w:t xml:space="preserve">, con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obbligatoria; la fase 3 resta com'è e la motivazione finisce nell'audit. Con la pratica attiva la chiusura prima del termine non è possibile (Guida 6.2.2). Con la fase 3 già completata non si apre un nuovo feedback.</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 feedback pubblico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Voce dello Schema tariffario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Altro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Proporre le voci dallo Schema tariffario</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Proponi dallo Schema tariffario</w:t>
      </w:r>
      <w:r>
        <w:rPr>
          <w:rFonts w:ascii="Arial" w:cs="Arial" w:eastAsia="Arial" w:hAnsi="Arial"/>
          <w:color w:val="1B2118"/>
          <w:sz w:val="21"/>
          <w:szCs w:val="21"/>
        </w:rPr>
        <w:t xml:space="preserve">: il portale propone le tariffe massime dello Schema tariffario v1.2 (IVA esclusa) per quella pratica, con scadenza a 30 giorni.</w:t>
      </w:r>
    </w:p>
    <w:p>
      <w:pPr>
        <w:pStyle w:val="ListParagraph"/>
        <w:numPr>
          <w:ilvl w:val="0"/>
          <w:numId w:val="14"/>
        </w:numPr>
        <w:spacing w:after="70" w:line="290"/>
      </w:pPr>
      <w:r>
        <w:rPr>
          <w:rFonts w:ascii="Arial" w:cs="Arial" w:eastAsia="Arial" w:hAnsi="Arial"/>
          <w:color w:val="1B2118"/>
          <w:sz w:val="21"/>
          <w:szCs w:val="21"/>
        </w:rPr>
        <w:t xml:space="preserve">Sono già spuntate le voci che la pratica non ha ancora e che hanno un importo; una voce senza importo (manca la popolazione o mancano i crediti previsti nei dati della pratica) non si può scegliere e lo dice nella nota.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Aggiungi le voci scelte</w:t>
      </w:r>
      <w:r>
        <w:rPr>
          <w:rFonts w:ascii="Arial" w:cs="Arial" w:eastAsia="Arial" w:hAnsi="Arial"/>
          <w:color w:val="1B2118"/>
          <w:sz w:val="21"/>
          <w:szCs w:val="21"/>
        </w:rPr>
        <w:t xml:space="preserve">. Gli importi si possono correggere dopo dalla voce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698"/>
        <w:gridCol w:w="4680"/>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3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Voce proposta</w:t>
            </w:r>
          </w:p>
        </w:tc>
        <w:tc>
          <w:tcPr>
            <w:tcW w:type="dxa" w:w="46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Importo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 (alla richiesta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 ad avvenuta registrazione)</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+ 0,15 € per credito previsto nel periodo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+ 0,20 € per credito previsto nell'anno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scaglioni sui crediti previsti nell'anno, da aggiornare con i crediti effettivamente emessi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2754"/>
        <w:gridCol w:w="2753"/>
      </w:tblGrid>
      <w:tr>
        <w:trPr>
          <w:tblHeader/>
        </w:trPr>
        <w:tc>
          <w:tcPr>
            <w:tcW w:type="dxa" w:w="41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Popolazione residente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Progetto</w:t>
            </w:r>
          </w:p>
        </w:tc>
        <w:tc>
          <w:tcPr>
            <w:tcW w:type="dxa" w:w="27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Rapporto</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 5.000 abitanti</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5.001 a 10.000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10.001 a 30.000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30.001 a 100.000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oltre 100.000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r>
    </w:tbl>
    <w:p>
      <w:pPr>
        <w:spacing w:after="160"/>
      </w:pPr>
    </w:p>
    <w:p>
      <w:pPr>
        <w:spacing w:after="140" w:line="300"/>
      </w:pPr>
      <w:r>
        <w:rPr>
          <w:rFonts w:ascii="Arial" w:cs="Arial" w:eastAsia="Arial" w:hAnsi="Arial"/>
          <w:b/>
          <w:bCs/>
          <w:color w:val="1B2118"/>
          <w:sz w:val="21"/>
          <w:szCs w:val="21"/>
        </w:rPr>
        <w:t xml:space="preserve">Tariffa di emissione</w:t>
      </w:r>
      <w:r>
        <w:rPr>
          <w:rFonts w:ascii="Arial" w:cs="Arial" w:eastAsia="Arial" w:hAnsi="Arial"/>
          <w:color w:val="1B2118"/>
          <w:sz w:val="21"/>
          <w:szCs w:val="21"/>
        </w:rPr>
        <w:t xml:space="preserve"> a scaglioni cumulativi: 1,00 € a credito fino a 1.000 crediti, 0,50 € da 1.001 a 10.000, 0,30 € oltre (ogni scaglione si paga al proprio prezzo: 2.000 crediti = 1.000 × 1,00 + 1.000 × 0,50 = 1.500 €). La voce con i crediti effettivi si aggiunge anche all'emissione (capitolo «Crediti emessi»).</w:t>
      </w:r>
    </w:p>
    <w:p>
      <w:pPr>
        <w:spacing w:after="140" w:line="300"/>
      </w:pPr>
      <w:r>
        <w:rPr>
          <w:rFonts w:ascii="Arial" w:cs="Arial" w:eastAsia="Arial" w:hAnsi="Arial"/>
          <w:b/>
          <w:bCs/>
          <w:color w:val="1B2118"/>
          <w:sz w:val="21"/>
          <w:szCs w:val="21"/>
        </w:rPr>
        <w:t xml:space="preserve">Tariffa di vendita</w:t>
      </w:r>
      <w:r>
        <w:rPr>
          <w:rFonts w:ascii="Arial" w:cs="Arial" w:eastAsia="Arial" w:hAnsi="Arial"/>
          <w:color w:val="1B2118"/>
          <w:sz w:val="21"/>
          <w:szCs w:val="21"/>
        </w:rPr>
        <w:t xml:space="preserve">: il 20% del valore di vendita, ma non meno di un minimo a scaglioni cumulativi: 1,50 € a credito fino a 500, 1,75 € da 501 a 1.000, 2,00 € da 1.001 a 10.000, 2,25 € da 10.001 a 50.000, 2,50 € oltre. La voce si propone quando si registra una vendita.</w:t>
      </w:r>
    </w:p>
    <w:p>
      <w:pPr>
        <w:spacing w:after="140" w:line="300"/>
      </w:pPr>
      <w:r>
        <w:rPr>
          <w:rFonts w:ascii="Arial" w:cs="Arial" w:eastAsia="Arial" w:hAnsi="Arial"/>
          <w:b/>
          <w:bCs/>
          <w:color w:val="1B2118"/>
          <w:sz w:val="21"/>
          <w:szCs w:val="21"/>
        </w:rPr>
        <w:t xml:space="preserve">Registrare un incasso</w:t>
      </w:r>
    </w:p>
    <w:p>
      <w:pPr>
        <w:pStyle w:val="ListParagraph"/>
        <w:numPr>
          <w:ilvl w:val="0"/>
          <w:numId w:val="15"/>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e la voce dello Schema tariffario. Il portale registra automaticamente chi ha inserito l'incasso, e l'operazione finisce nell'audit.</w:t>
      </w:r>
    </w:p>
    <w:p>
      <w:pPr>
        <w:spacing w:after="140" w:line="300"/>
      </w:pPr>
      <w:r>
        <w:rPr>
          <w:rFonts w:ascii="Arial" w:cs="Arial" w:eastAsia="Arial" w:hAnsi="Arial"/>
          <w:b/>
          <w:bCs/>
          <w:color w:val="1B2118"/>
          <w:sz w:val="21"/>
          <w:szCs w:val="21"/>
        </w:rPr>
        <w:t xml:space="preserve">Sospensione fino al saldo.</w:t>
      </w:r>
      <w:r>
        <w:rPr>
          <w:rFonts w:ascii="Arial" w:cs="Arial" w:eastAsia="Arial" w:hAnsi="Arial"/>
          <w:color w:val="1B2118"/>
          <w:sz w:val="21"/>
          <w:szCs w:val="21"/>
        </w:rPr>
        <w:t xml:space="preserve"> Con una voce scaduta e non pagata il riquadro mostra in rosso «C'è una voce scaduta non pagata: fino al saldo le attività successive sono sospese» e il portale non apre nuove fasi della pratica. Inoltre la fase 5 si apre solo con la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pagata (Guida 6.2.1 e 6.3.1). Vedi «Gestire le fasi e lo stato della pratica».</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feedback pubblici,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rapporti dell'ente (tipologie </w:t>
            </w:r>
            <w:r>
              <w:rPr>
                <w:rFonts w:ascii="Arial" w:cs="Arial" w:eastAsia="Arial" w:hAnsi="Arial"/>
                <w:i/>
                <w:iCs/>
                <w:color w:val="1B2118"/>
                <w:sz w:val="18"/>
                <w:szCs w:val="18"/>
              </w:rPr>
              <w:t xml:space="preserve">Rapporto di validazione</w:t>
            </w:r>
            <w:r>
              <w:rPr>
                <w:rFonts w:ascii="Arial" w:cs="Arial" w:eastAsia="Arial" w:hAnsi="Arial"/>
                <w:color w:val="1B2118"/>
                <w:sz w:val="18"/>
                <w:szCs w:val="18"/>
              </w:rPr>
              <w:t xml:space="preserve"> e </w:t>
            </w:r>
            <w:r>
              <w:rPr>
                <w:rFonts w:ascii="Arial" w:cs="Arial" w:eastAsia="Arial" w:hAnsi="Arial"/>
                <w:i/>
                <w:iCs/>
                <w:color w:val="1B2118"/>
                <w:sz w:val="18"/>
                <w:szCs w:val="18"/>
              </w:rPr>
              <w:t xml:space="preserve">Rapporto di verifica</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del feedback pubblico,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feedback pubblico o esce un'errata corrige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Progetto registrato da 2 anni non ha Rapporti («Progetto senza Rapporti da 2 anni»)</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vendita di crediti è senza dichiarazione di cancellazione dopo 10 giorni</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 (anche «Progetto ritirato dal Programma» e «Progetto rientrato nel Programma»)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 nuovo reclamo o una richiesta di chiarimento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avvia la verifica sull'accuratezza o un accertamento (con la nuova scadenza)</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vengono emessi crediti dal Rapporto («Crediti emessi»)</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la risposta a un suo reclamo o richiesta di chiarimento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lo stesso lavoro giornaliero controlla i Progetti senza Rapporti e le dichiarazioni di cancellazione mancanti.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Un solo account cliente per Organizzazione.</w:t>
      </w:r>
      <w:r>
        <w:rPr>
          <w:rFonts w:ascii="Arial" w:cs="Arial" w:eastAsia="Arial" w:hAnsi="Arial"/>
          <w:color w:val="1B2118"/>
          <w:sz w:val="21"/>
          <w:szCs w:val="21"/>
        </w:rPr>
        <w:t xml:space="preserve"> Ogni Organizzazione ha al massimo </w:t>
      </w:r>
      <w:r>
        <w:rPr>
          <w:rFonts w:ascii="Arial" w:cs="Arial" w:eastAsia="Arial" w:hAnsi="Arial"/>
          <w:b/>
          <w:bCs/>
          <w:color w:val="1B2118"/>
          <w:sz w:val="21"/>
          <w:szCs w:val="21"/>
        </w:rPr>
        <w:t xml:space="preserve">un account cliente attivo</w:t>
      </w:r>
      <w:r>
        <w:rPr>
          <w:rFonts w:ascii="Arial" w:cs="Arial" w:eastAsia="Arial" w:hAnsi="Arial"/>
          <w:color w:val="1B2118"/>
          <w:sz w:val="21"/>
          <w:szCs w:val="21"/>
        </w:rPr>
        <w:t xml:space="preserve">, quello del rappresentante autorizzato (Guida 7.2). Il portale rifiuta la creazione, la modifica o la riattivazione di un secondo account attivo per la stessa Organizzazione con il messaggio «L'Organizzazione … ha già un account attivo … Disattiva quello attuale prima di attivarne un altro».</w:t>
      </w:r>
    </w:p>
    <w:p>
      <w:pPr>
        <w:spacing w:after="140" w:line="300"/>
      </w:pPr>
      <w:r>
        <w:rPr>
          <w:rFonts w:ascii="Arial" w:cs="Arial" w:eastAsia="Arial" w:hAnsi="Arial"/>
          <w:b/>
          <w:bCs/>
          <w:color w:val="1B2118"/>
          <w:sz w:val="21"/>
          <w:szCs w:val="21"/>
        </w:rPr>
        <w:t xml:space="preserve">Creare un utente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Amministratore</w:t>
      </w:r>
      <w:r>
        <w:rPr>
          <w:rFonts w:ascii="Arial" w:cs="Arial" w:eastAsia="Arial" w:hAnsi="Arial"/>
          <w:color w:val="1B2118"/>
          <w:sz w:val="21"/>
          <w:szCs w:val="21"/>
        </w:rPr>
        <w:t xml:space="preserve">. Scegliendo Amministratore compare un promemoria: avrà accesso completo a tutti i dati e alla gestione utenti; assegnate questo ruolo solo a persone della Fondazione.</w:t>
      </w:r>
    </w:p>
    <w:p>
      <w:pPr>
        <w:pStyle w:val="ListParagraph"/>
        <w:numPr>
          <w:ilvl w:val="0"/>
          <w:numId w:val="16"/>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o che ha già un account attivo), l'utente non viene creato e compare il motivo: correggete e riprovate.</w:t>
      </w:r>
    </w:p>
    <w:p>
      <w:pPr>
        <w:pStyle w:val="ListParagraph"/>
        <w:numPr>
          <w:ilvl w:val="0"/>
          <w:numId w:val="16"/>
        </w:numPr>
        <w:spacing w:after="70" w:line="290"/>
      </w:pPr>
      <w:r>
        <w:rPr>
          <w:rFonts w:ascii="Arial" w:cs="Arial" w:eastAsia="Arial" w:hAnsi="Arial"/>
          <w:color w:val="1B2118"/>
          <w:sz w:val="21"/>
          <w:szCs w:val="21"/>
        </w:rPr>
        <w:t xml:space="preserve">Il portale </w:t>
      </w:r>
      <w:r>
        <w:rPr>
          <w:rFonts w:ascii="Arial" w:cs="Arial" w:eastAsia="Arial" w:hAnsi="Arial"/>
          <w:b/>
          <w:bCs/>
          <w:color w:val="1B2118"/>
          <w:sz w:val="21"/>
          <w:szCs w:val="21"/>
        </w:rPr>
        <w:t xml:space="preserve">invia all'utente un'email</w:t>
      </w:r>
      <w:r>
        <w:rPr>
          <w:rFonts w:ascii="Arial" w:cs="Arial" w:eastAsia="Arial" w:hAnsi="Arial"/>
          <w:color w:val="1B2118"/>
          <w:sz w:val="21"/>
          <w:szCs w:val="21"/>
        </w:rPr>
        <w:t xml:space="preserve"> con l'indirizzo del portale, l'email di accesso e la password temporanea, ricordando che al primo accesso dovrà sceglierne una personale. La finestra dice se l'email è partita («✉ Email … inviata a …»). Se non è partita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con il motivo: l'utente è comunque creato, e la password va comunicata a mano con un canale sicuro, ad esempio per telefono.</w:t>
      </w:r>
    </w:p>
    <w:p>
      <w:pPr>
        <w:spacing w:after="60"/>
      </w:pPr>
    </w:p>
    <w:p>
      <w:pPr>
        <w:spacing w:after="140" w:line="300"/>
      </w:pPr>
      <w:r>
        <w:rPr>
          <w:rFonts w:ascii="Arial" w:cs="Arial" w:eastAsia="Arial" w:hAnsi="Arial"/>
          <w:b/>
          <w:bCs/>
          <w:color w:val="1B2118"/>
          <w:sz w:val="21"/>
          <w:szCs w:val="21"/>
        </w:rPr>
        <w:t xml:space="preserve">Limite attuale delle email.</w:t>
      </w:r>
      <w:r>
        <w:rPr>
          <w:rFonts w:ascii="Arial" w:cs="Arial" w:eastAsia="Arial" w:hAnsi="Arial"/>
          <w:color w:val="1B2118"/>
          <w:sz w:val="21"/>
          <w:szCs w:val="21"/>
        </w:rPr>
        <w:t xml:space="preserve"> Finché il dominio della Fondazione non è verificato su Resend, le email partono dal mittente di prova e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 per tutti gli altri compare «Email non inviata (Resend 403 …)». Dopo la verifica del dominio e l'impostazione del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le email arrivano a tutti.</w:t>
      </w:r>
    </w:p>
    <w:p>
      <w:pPr>
        <w:spacing w:after="140" w:line="300"/>
      </w:pPr>
      <w:r>
        <w:rPr>
          <w:rFonts w:ascii="Arial" w:cs="Arial" w:eastAsia="Arial" w:hAnsi="Arial"/>
          <w:b/>
          <w:bCs/>
          <w:color w:val="1B2118"/>
          <w:sz w:val="21"/>
          <w:szCs w:val="21"/>
        </w:rPr>
        <w:t xml:space="preserve">Cambiare il rappresentante di un'Organizzazione</w:t>
      </w:r>
    </w:p>
    <w:p>
      <w:pPr>
        <w:pStyle w:val="ListParagraph"/>
        <w:numPr>
          <w:ilvl w:val="0"/>
          <w:numId w:val="17"/>
        </w:numPr>
        <w:spacing w:after="70" w:line="290"/>
      </w:pPr>
      <w:r>
        <w:rPr>
          <w:rFonts w:ascii="Arial" w:cs="Arial" w:eastAsia="Arial" w:hAnsi="Arial"/>
          <w:color w:val="1B2118"/>
          <w:sz w:val="21"/>
          <w:szCs w:val="21"/>
        </w:rPr>
        <w:t xml:space="preserve">Ricevete il nuovo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e caricatelo nella pratica.</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Disattiva</w:t>
      </w:r>
      <w:r>
        <w:rPr>
          <w:rFonts w:ascii="Arial" w:cs="Arial" w:eastAsia="Arial" w:hAnsi="Arial"/>
          <w:color w:val="1B2118"/>
          <w:sz w:val="21"/>
          <w:szCs w:val="21"/>
        </w:rPr>
        <w:t xml:space="preserve"> sull'account del rappresentante attuale.</w:t>
      </w:r>
    </w:p>
    <w:p>
      <w:pPr>
        <w:pStyle w:val="ListParagraph"/>
        <w:numPr>
          <w:ilvl w:val="0"/>
          <w:numId w:val="17"/>
        </w:numPr>
        <w:spacing w:after="70" w:line="290"/>
      </w:pPr>
      <w:r>
        <w:rPr>
          <w:rFonts w:ascii="Arial" w:cs="Arial" w:eastAsia="Arial" w:hAnsi="Arial"/>
          <w:color w:val="1B2118"/>
          <w:sz w:val="21"/>
          <w:szCs w:val="21"/>
        </w:rPr>
        <w:t xml:space="preserve">Create l'account del nuovo rappresentante con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 associandolo all'Organizzazione.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Anagrafiche → Organizzazioni</w:t>
      </w:r>
      <w:r>
        <w:rPr>
          <w:rFonts w:ascii="Arial" w:cs="Arial" w:eastAsia="Arial" w:hAnsi="Arial"/>
          <w:color w:val="1B2118"/>
          <w:sz w:val="21"/>
          <w:szCs w:val="21"/>
        </w:rPr>
        <w:t xml:space="preserve"> aggiornate </w:t>
      </w:r>
      <w:r>
        <w:rPr>
          <w:rFonts w:ascii="Arial" w:cs="Arial" w:eastAsia="Arial" w:hAnsi="Arial"/>
          <w:b/>
          <w:bCs/>
          <w:color w:val="1B2118"/>
          <w:sz w:val="21"/>
          <w:szCs w:val="21"/>
        </w:rPr>
        <w:t xml:space="preserve">Delegato 1</w:t>
      </w:r>
      <w:r>
        <w:rPr>
          <w:rFonts w:ascii="Arial" w:cs="Arial" w:eastAsia="Arial" w:hAnsi="Arial"/>
          <w:color w:val="1B2118"/>
          <w:sz w:val="21"/>
          <w:szCs w:val="21"/>
        </w:rPr>
        <w:t xml:space="preserve"> (e, se cambia, </w:t>
      </w:r>
      <w:r>
        <w:rPr>
          <w:rFonts w:ascii="Arial" w:cs="Arial" w:eastAsia="Arial" w:hAnsi="Arial"/>
          <w:b/>
          <w:bCs/>
          <w:color w:val="1B2118"/>
          <w:sz w:val="21"/>
          <w:szCs w:val="21"/>
        </w:rPr>
        <w:t xml:space="preserve">Delegato 2</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o ad Amministratore le associazioni alle organizzazioni si azzerano. Con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si nomina Amministratore un utente esistente, o si riporta un Amministratore a Operatore.</w:t>
      </w:r>
    </w:p>
    <w:p>
      <w:pPr>
        <w:spacing w:after="140" w:line="300"/>
      </w:pPr>
      <w:r>
        <w:rPr>
          <w:rFonts w:ascii="Arial" w:cs="Arial" w:eastAsia="Arial" w:hAnsi="Arial"/>
          <w:b/>
          <w:bCs/>
          <w:color w:val="1B2118"/>
          <w:sz w:val="21"/>
          <w:szCs w:val="21"/>
        </w:rPr>
        <w:t xml:space="preserve">Eliminare un utente mai attivo.</w:t>
      </w:r>
      <w:r>
        <w:rPr>
          <w:rFonts w:ascii="Arial" w:cs="Arial" w:eastAsia="Arial" w:hAnsi="Arial"/>
          <w:color w:val="1B2118"/>
          <w:sz w:val="21"/>
          <w:szCs w:val="21"/>
        </w:rPr>
        <w:t xml:space="preserve"> Il pulsante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compare solo sugli utenti che </w:t>
      </w:r>
      <w:r>
        <w:rPr>
          <w:rFonts w:ascii="Arial" w:cs="Arial" w:eastAsia="Arial" w:hAnsi="Arial"/>
          <w:b/>
          <w:bCs/>
          <w:color w:val="1B2118"/>
          <w:sz w:val="21"/>
          <w:szCs w:val="21"/>
        </w:rPr>
        <w:t xml:space="preserve">non hanno mai operato nel portale</w:t>
      </w:r>
      <w:r>
        <w:rPr>
          <w:rFonts w:ascii="Arial" w:cs="Arial" w:eastAsia="Arial" w:hAnsi="Arial"/>
          <w:color w:val="1B2118"/>
          <w:sz w:val="21"/>
          <w:szCs w:val="21"/>
        </w:rPr>
        <w:t xml:space="preserve">, cioè che non compaiono come autori di nessuna voce dell'audit trail. Basta anche un solo accesso al portale (registro degli accessi) o il cambio della password al primo accesso perché l'utente risulti attivo: da quel momento si può solo disattivare. Serve, ad esempio, per un account creato per errore o con l'email sbagliata.</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nella riga dell'utente.</w:t>
      </w:r>
    </w:p>
    <w:p>
      <w:pPr>
        <w:pStyle w:val="ListParagraph"/>
        <w:numPr>
          <w:ilvl w:val="0"/>
          <w:numId w:val="18"/>
        </w:numPr>
        <w:spacing w:after="70" w:line="290"/>
      </w:pPr>
      <w:r>
        <w:rPr>
          <w:rFonts w:ascii="Arial" w:cs="Arial" w:eastAsia="Arial" w:hAnsi="Arial"/>
          <w:color w:val="1B2118"/>
          <w:sz w:val="21"/>
          <w:szCs w:val="21"/>
        </w:rPr>
        <w:t xml:space="preserve">Leggete l'avviso e premete </w:t>
      </w:r>
      <w:r>
        <w:rPr>
          <w:rFonts w:ascii="Arial" w:cs="Arial" w:eastAsia="Arial" w:hAnsi="Arial"/>
          <w:b/>
          <w:bCs/>
          <w:color w:val="1B2118"/>
          <w:sz w:val="21"/>
          <w:szCs w:val="21"/>
        </w:rPr>
        <w:t xml:space="preserve">Elimina definitivamente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Annulla</w:t>
      </w:r>
      <w:r>
        <w:rPr>
          <w:rFonts w:ascii="Arial" w:cs="Arial" w:eastAsia="Arial" w:hAnsi="Arial"/>
          <w:color w:val="1B2118"/>
          <w:sz w:val="21"/>
          <w:szCs w:val="21"/>
        </w:rPr>
        <w:t xml:space="preserve"> non succede nulla.</w:t>
      </w:r>
    </w:p>
    <w:p>
      <w:pPr>
        <w:spacing w:after="60"/>
      </w:pPr>
    </w:p>
    <w:p>
      <w:pPr>
        <w:spacing w:after="140" w:line="300"/>
      </w:pPr>
      <w:r>
        <w:rPr>
          <w:rFonts w:ascii="Arial" w:cs="Arial" w:eastAsia="Arial" w:hAnsi="Arial"/>
          <w:color w:val="1B2118"/>
          <w:sz w:val="21"/>
          <w:szCs w:val="21"/>
        </w:rPr>
        <w:t xml:space="preserve">Si cancellano l'account, il profilo e le associazioni alle organizzazioni; nell'audit resta la voce «cancellazione profilo» con il vostro nome. L'operazione non si può annullare. Non si possono eliminare sé stessi né l'Amministratore principale. Chi ha già operato si può solo </w:t>
      </w:r>
      <w:r>
        <w:rPr>
          <w:rFonts w:ascii="Arial" w:cs="Arial" w:eastAsia="Arial" w:hAnsi="Arial"/>
          <w:b/>
          <w:bCs/>
          <w:color w:val="1B2118"/>
          <w:sz w:val="21"/>
          <w:szCs w:val="21"/>
        </w:rPr>
        <w:t xml:space="preserve">disattivare</w:t>
      </w:r>
      <w:r>
        <w:rPr>
          <w:rFonts w:ascii="Arial" w:cs="Arial" w:eastAsia="Arial" w:hAnsi="Arial"/>
          <w:color w:val="1B2118"/>
          <w:sz w:val="21"/>
          <w:szCs w:val="21"/>
        </w:rPr>
        <w:t xml:space="preserve">, così la sua storia resta nell'audit.</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Quando entra (o ricarica la pagina) vede il riquadro </w:t>
      </w:r>
      <w:r>
        <w:rPr>
          <w:rFonts w:ascii="Arial" w:cs="Arial" w:eastAsia="Arial" w:hAnsi="Arial"/>
          <w:b/>
          <w:bCs/>
          <w:color w:val="1B2118"/>
          <w:sz w:val="21"/>
          <w:szCs w:val="21"/>
        </w:rPr>
        <w:t xml:space="preserve">«Account disattivato»</w:t>
      </w:r>
      <w:r>
        <w:rPr>
          <w:rFonts w:ascii="Arial" w:cs="Arial" w:eastAsia="Arial" w:hAnsi="Arial"/>
          <w:color w:val="1B2118"/>
          <w:sz w:val="21"/>
          <w:szCs w:val="21"/>
        </w:rPr>
        <w:t xml:space="preserve"> con l'invito a scrivere alla Fondazione e il pulsante Esci, invece di elenchi vuoti che sembrerebbero «nessuna pratica» (dal 21/10/2026, collaudo V05). Non si può disattivare sé stessi. Si può disattivare anche un altro Amministratore. Un Cliente si riattiva solo se la sua Organizzazione non ha nel frattempo un altro account attivo.</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9"/>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9"/>
        </w:numPr>
        <w:spacing w:after="70" w:line="290"/>
      </w:pPr>
      <w:r>
        <w:rPr>
          <w:rFonts w:ascii="Arial" w:cs="Arial" w:eastAsia="Arial" w:hAnsi="Arial"/>
          <w:color w:val="1B2118"/>
          <w:sz w:val="21"/>
          <w:szCs w:val="21"/>
        </w:rPr>
        <w:t xml:space="preserve">Il portale invia all'utente un'email con la nuova password temporanea e dice se è partita. Se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comunicate la password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La riga di luca.moretti@operate.it ha il segno </w:t>
      </w:r>
      <w:r>
        <w:rPr>
          <w:rFonts w:ascii="Arial" w:cs="Arial" w:eastAsia="Arial" w:hAnsi="Arial"/>
          <w:b/>
          <w:bCs/>
          <w:color w:val="1B2118"/>
          <w:sz w:val="21"/>
          <w:szCs w:val="21"/>
        </w:rPr>
        <w:t xml:space="preserve">Principale</w:t>
      </w:r>
      <w:r>
        <w:rPr>
          <w:rFonts w:ascii="Arial" w:cs="Arial" w:eastAsia="Arial" w:hAnsi="Arial"/>
          <w:color w:val="1B2118"/>
          <w:sz w:val="21"/>
          <w:szCs w:val="21"/>
        </w:rPr>
        <w:t xml:space="preserve"> e nessun pulsante: nessun Amministratore la può modificare, declassare, disattivare o cancellare. Lo impedisce il database (script 29), non solo la pagina: nemmeno dal pannello </w:t>
      </w:r>
      <w:r>
        <w:rPr>
          <w:rFonts w:ascii="Arial" w:cs="Arial" w:eastAsia="Arial" w:hAnsi="Arial"/>
          <w:i/>
          <w:iCs/>
          <w:color w:val="1B2118"/>
          <w:sz w:val="21"/>
          <w:szCs w:val="21"/>
        </w:rPr>
        <w:t xml:space="preserve">Authentication</w:t>
      </w:r>
      <w:r>
        <w:rPr>
          <w:rFonts w:ascii="Arial" w:cs="Arial" w:eastAsia="Arial" w:hAnsi="Arial"/>
          <w:color w:val="1B2118"/>
          <w:sz w:val="21"/>
          <w:szCs w:val="21"/>
        </w:rPr>
        <w:t xml:space="preserve"> di Supabase si può cancellare l'account. In caso di reale necessità la protezione si toglie solo dal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di Supabase, con le istruzioni in fondo allo script 29.</w:t>
      </w:r>
    </w:p>
    <w:p>
      <w:pPr>
        <w:spacing w:after="140" w:line="300"/>
      </w:pPr>
      <w:r>
        <w:rPr>
          <w:rFonts w:ascii="Arial" w:cs="Arial" w:eastAsia="Arial" w:hAnsi="Arial"/>
          <w:b/>
          <w:bCs/>
          <w:color w:val="1B2118"/>
          <w:sz w:val="21"/>
          <w:szCs w:val="21"/>
        </w:rPr>
        <w:t xml:space="preserve">Utenti online (solo Amministratore principale).</w:t>
      </w:r>
      <w:r>
        <w:rPr>
          <w:rFonts w:ascii="Arial" w:cs="Arial" w:eastAsia="Arial" w:hAnsi="Arial"/>
          <w:color w:val="1B2118"/>
          <w:sz w:val="21"/>
          <w:szCs w:val="21"/>
        </w:rPr>
        <w:t xml:space="preserve"> Nell'intestazione, accanto alla campanella, l'Amministratore principale vede il pulsante </w:t>
      </w:r>
      <w:r>
        <w:rPr>
          <w:rFonts w:ascii="Arial" w:cs="Arial" w:eastAsia="Arial" w:hAnsi="Arial"/>
          <w:b/>
          <w:bCs/>
          <w:color w:val="1B2118"/>
          <w:sz w:val="21"/>
          <w:szCs w:val="21"/>
        </w:rPr>
        <w:t xml:space="preserve">● n online</w:t>
      </w:r>
      <w:r>
        <w:rPr>
          <w:rFonts w:ascii="Arial" w:cs="Arial" w:eastAsia="Arial" w:hAnsi="Arial"/>
          <w:color w:val="1B2118"/>
          <w:sz w:val="21"/>
          <w:szCs w:val="21"/>
        </w:rPr>
        <w:t xml:space="preserve"> con il numero degli utenti collegati in quel momento. Il quadro completo è nella sezione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(capitolo seguente). Premendo il pulsante si apre l'elenco rapido:</w:t>
      </w:r>
    </w:p>
    <w:p>
      <w:pPr>
        <w:pStyle w:val="ListParagraph"/>
        <w:numPr>
          <w:ilvl w:val="0"/>
          <w:numId w:val="2"/>
        </w:numPr>
        <w:spacing w:after="70" w:line="290"/>
      </w:pPr>
      <w:r>
        <w:rPr>
          <w:rFonts w:ascii="Arial" w:cs="Arial" w:eastAsia="Arial" w:hAnsi="Arial"/>
          <w:b/>
          <w:bCs/>
          <w:color w:val="1B2118"/>
          <w:sz w:val="21"/>
          <w:szCs w:val="21"/>
        </w:rPr>
        <w:t xml:space="preserve">online adesso</w:t>
      </w:r>
      <w:r>
        <w:rPr>
          <w:rFonts w:ascii="Arial" w:cs="Arial" w:eastAsia="Arial" w:hAnsi="Arial"/>
          <w:color w:val="1B2118"/>
          <w:sz w:val="21"/>
          <w:szCs w:val="21"/>
        </w:rPr>
        <w:t xml:space="preserve">: nome o email, ruolo, organizzazione, pagina aperta e da quanto tempo è collegato;</w:t>
      </w:r>
    </w:p>
    <w:p>
      <w:pPr>
        <w:pStyle w:val="ListParagraph"/>
        <w:numPr>
          <w:ilvl w:val="0"/>
          <w:numId w:val="2"/>
        </w:numPr>
        <w:spacing w:after="70" w:line="290"/>
      </w:pPr>
      <w:r>
        <w:rPr>
          <w:rFonts w:ascii="Arial" w:cs="Arial" w:eastAsia="Arial" w:hAnsi="Arial"/>
          <w:b/>
          <w:bCs/>
          <w:color w:val="1B2118"/>
          <w:sz w:val="21"/>
          <w:szCs w:val="21"/>
        </w:rPr>
        <w:t xml:space="preserve">visti nelle ultime 24 ore</w:t>
      </w:r>
      <w:r>
        <w:rPr>
          <w:rFonts w:ascii="Arial" w:cs="Arial" w:eastAsia="Arial" w:hAnsi="Arial"/>
          <w:color w:val="1B2118"/>
          <w:sz w:val="21"/>
          <w:szCs w:val="21"/>
        </w:rPr>
        <w:t xml:space="preserve">: chi è stato collegato di recente, con l'ora dell'ultimo accesso.</w:t>
      </w:r>
    </w:p>
    <w:p>
      <w:pPr>
        <w:spacing w:after="140" w:line="300"/>
      </w:pPr>
      <w:r>
        <w:rPr>
          <w:rFonts w:ascii="Arial" w:cs="Arial" w:eastAsia="Arial" w:hAnsi="Arial"/>
          <w:color w:val="1B2118"/>
          <w:sz w:val="21"/>
          <w:szCs w:val="21"/>
        </w:rPr>
        <w:t xml:space="preserve">Un utente risulta online se ha una pagina del portale aperta e visibile nell'ultimo paio di minuti: il portale lo segnala da solo a ogni cambio di pagina e una volta al minuto. Con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 non risulta più online; chiudendo la finestra senza uscire sparisce dopo circa 2 minuti. L'elenco si aggiorna ogni 30 secondi. Si conserva solo l'ultimo collegamento di ciascun utente (nessuno storico, nessun indirizzo IP) e gli altri Amministratori non vedono né il pulsante né i dati: lo controlla il database (script 32). Gli utenti ne sono informati nel Manuale Utente.</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Nessuno può cambiare il proprio ruolo né disattivare sé stesso. La password di un Amministratore non si reimposta dalla pagina Utenti: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User (solo Amministratore principale)</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compare solo all'Amministratore principale (luca.moretti@operate.it). Gli altri Amministratori non la vedono e il database rifiuta loro i dati (script 33). Ha tre schede; ogni tabella si ordina per colonna e si scarica con </w:t>
      </w:r>
      <w:r>
        <w:rPr>
          <w:rFonts w:ascii="Arial" w:cs="Arial" w:eastAsia="Arial" w:hAnsi="Arial"/>
          <w:b/>
          <w:bCs/>
          <w:color w:val="1B2118"/>
          <w:sz w:val="21"/>
          <w:szCs w:val="21"/>
        </w:rPr>
        <w:t xml:space="preserve">Esporta CSV</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b/>
          <w:bCs/>
          <w:color w:val="1B2118"/>
          <w:sz w:val="21"/>
          <w:szCs w:val="21"/>
        </w:rPr>
        <w:t xml:space="preserve">Utenti e stato online.</w:t>
      </w:r>
      <w:r>
        <w:rPr>
          <w:rFonts w:ascii="Arial" w:cs="Arial" w:eastAsia="Arial" w:hAnsi="Arial"/>
          <w:color w:val="1B2118"/>
          <w:sz w:val="21"/>
          <w:szCs w:val="21"/>
        </w:rPr>
        <w:t xml:space="preserve"> Tutti gli utenti, con in cima chi è collegato adesso. Per ognuno:</w:t>
      </w:r>
    </w:p>
    <w:p>
      <w:pPr>
        <w:spacing w:after="60"/>
      </w:pPr>
    </w:p>
    <w:p>
      <w:pPr>
        <w:spacing w:after="140" w:line="300"/>
      </w:pPr>
      <w:r>
        <w:rPr>
          <w:rFonts w:ascii="Arial" w:cs="Arial" w:eastAsia="Arial" w:hAnsi="Arial"/>
          <w:color w:val="1B2118"/>
          <w:sz w:val="21"/>
          <w:szCs w:val="21"/>
        </w:rPr>
        <w:t xml:space="preserve">- stato (</w:t>
      </w:r>
      <w:r>
        <w:rPr>
          <w:rFonts w:ascii="Arial" w:cs="Arial" w:eastAsia="Arial" w:hAnsi="Arial"/>
          <w:b/>
          <w:bCs/>
          <w:color w:val="1B2118"/>
          <w:sz w:val="21"/>
          <w:szCs w:val="21"/>
        </w:rPr>
        <w:t xml:space="preserve">Online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Non collegato</w:t>
      </w:r>
      <w:r>
        <w:rPr>
          <w:rFonts w:ascii="Arial" w:cs="Arial" w:eastAsia="Arial" w:hAnsi="Arial"/>
          <w:color w:val="1B2118"/>
          <w:sz w:val="21"/>
          <w:szCs w:val="21"/>
        </w:rPr>
        <w:t xml:space="preserve">); - ruolo e organizzazione; - pagina aperta e da quanto tempo è collegato, oppure ultima presenza; - ultimo accesso; - accessi e </w:t>
      </w:r>
      <w:r>
        <w:rPr>
          <w:rFonts w:ascii="Arial" w:cs="Arial" w:eastAsia="Arial" w:hAnsi="Arial"/>
          <w:b/>
          <w:bCs/>
          <w:color w:val="1B2118"/>
          <w:sz w:val="21"/>
          <w:szCs w:val="21"/>
        </w:rPr>
        <w:t xml:space="preserve">accessi non riusciti</w:t>
      </w:r>
      <w:r>
        <w:rPr>
          <w:rFonts w:ascii="Arial" w:cs="Arial" w:eastAsia="Arial" w:hAnsi="Arial"/>
          <w:color w:val="1B2118"/>
          <w:sz w:val="21"/>
          <w:szCs w:val="21"/>
        </w:rPr>
        <w:t xml:space="preserve"> degli ultimi 30 giorni; - ultima operazione e numero di operazioni degli ultimi 30 giorni.</w:t>
      </w:r>
    </w:p>
    <w:p>
      <w:pPr>
        <w:spacing w:after="140" w:line="300"/>
      </w:pPr>
      <w:r>
        <w:rPr>
          <w:rFonts w:ascii="Arial" w:cs="Arial" w:eastAsia="Arial" w:hAnsi="Arial"/>
          <w:color w:val="1B2118"/>
          <w:sz w:val="21"/>
          <w:szCs w:val="21"/>
        </w:rPr>
        <w:t xml:space="preserve">In alto i riquadri: online adesso, utenti registrati, account attivi, accessi non riusciti. I pulsanti </w:t>
      </w: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su una riga aprono le altre schede già filtrate su quella persona. La scheda si aggiorna ogni 30 secondi.</w:t>
      </w:r>
    </w:p>
    <w:p>
      <w:pPr>
        <w:pStyle w:val="ListParagraph"/>
        <w:numPr>
          <w:ilvl w:val="0"/>
          <w:numId w:val="21"/>
        </w:numPr>
        <w:spacing w:after="70" w:line="290"/>
      </w:pP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Registro di ogni </w:t>
      </w: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(con email e password o dal link di recupero della password), di ogni </w:t>
      </w:r>
      <w:r>
        <w:rPr>
          <w:rFonts w:ascii="Arial" w:cs="Arial" w:eastAsia="Arial" w:hAnsi="Arial"/>
          <w:b/>
          <w:bCs/>
          <w:color w:val="1B2118"/>
          <w:sz w:val="21"/>
          <w:szCs w:val="21"/>
        </w:rPr>
        <w:t xml:space="preserve">uscita</w:t>
      </w:r>
      <w:r>
        <w:rPr>
          <w:rFonts w:ascii="Arial" w:cs="Arial" w:eastAsia="Arial" w:hAnsi="Arial"/>
          <w:color w:val="1B2118"/>
          <w:sz w:val="21"/>
          <w:szCs w:val="21"/>
        </w:rPr>
        <w:t xml:space="preserve"> con Esci (con la durata del collegamento) e di ogni </w:t>
      </w:r>
      <w:r>
        <w:rPr>
          <w:rFonts w:ascii="Arial" w:cs="Arial" w:eastAsia="Arial" w:hAnsi="Arial"/>
          <w:b/>
          <w:bCs/>
          <w:color w:val="1B2118"/>
          <w:sz w:val="21"/>
          <w:szCs w:val="21"/>
        </w:rPr>
        <w:t xml:space="preserve">accesso non riuscito</w:t>
      </w:r>
      <w:r>
        <w:rPr>
          <w:rFonts w:ascii="Arial" w:cs="Arial" w:eastAsia="Arial" w:hAnsi="Arial"/>
          <w:color w:val="1B2118"/>
          <w:sz w:val="21"/>
          <w:szCs w:val="21"/>
        </w:rPr>
        <w:t xml:space="preserve"> (password errata, oppure email non registrata), con data e ora al secondo. Si filtra per utente, periodo (Dal / Al) e tipo di evento.</w:t>
      </w:r>
    </w:p>
    <w:p>
      <w:pPr>
        <w:pStyle w:val="ListParagraph"/>
        <w:numPr>
          <w:ilvl w:val="0"/>
          <w:numId w:val="21"/>
        </w:numPr>
        <w:spacing w:after="70" w:line="290"/>
      </w:pP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Tutto l'audit trail della persona scelta, o di tutti: data e ora, utente e ruolo, operazione, oggetto (per i documenti anche il nome del file), pratica, passaggio di stato e motivazione. Da ottobre 2026 comprende anche il </w:t>
      </w:r>
      <w:r>
        <w:rPr>
          <w:rFonts w:ascii="Arial" w:cs="Arial" w:eastAsia="Arial" w:hAnsi="Arial"/>
          <w:b/>
          <w:bCs/>
          <w:color w:val="1B2118"/>
          <w:sz w:val="21"/>
          <w:szCs w:val="21"/>
        </w:rPr>
        <w:t xml:space="preserve">download documento</w:t>
      </w:r>
      <w:r>
        <w:rPr>
          <w:rFonts w:ascii="Arial" w:cs="Arial" w:eastAsia="Arial" w:hAnsi="Arial"/>
          <w:color w:val="1B2118"/>
          <w:sz w:val="21"/>
          <w:szCs w:val="21"/>
        </w:rPr>
        <w:t xml:space="preserve">, cioè chi ha scaricato quale documento e quando. Si filtra per utente e periodo e si cerca per testo.</w:t>
      </w:r>
    </w:p>
    <w:p>
      <w:pPr>
        <w:spacing w:after="60"/>
      </w:pPr>
    </w:p>
    <w:p>
      <w:pPr>
        <w:spacing w:after="140" w:line="300"/>
      </w:pPr>
      <w:r>
        <w:rPr>
          <w:rFonts w:ascii="Arial" w:cs="Arial" w:eastAsia="Arial" w:hAnsi="Arial"/>
          <w:b/>
          <w:bCs/>
          <w:color w:val="1B2118"/>
          <w:sz w:val="21"/>
          <w:szCs w:val="21"/>
        </w:rPr>
        <w:t xml:space="preserve">Cosa si registra e cosa no.</w:t>
      </w:r>
      <w:r>
        <w:rPr>
          <w:rFonts w:ascii="Arial" w:cs="Arial" w:eastAsia="Arial" w:hAnsi="Arial"/>
          <w:color w:val="1B2118"/>
          <w:sz w:val="21"/>
          <w:szCs w:val="21"/>
        </w:rPr>
        <w:t xml:space="preserve"> Registri immutabili come l'audit trail: nessuno li modifica o cancella, nemmeno l'Amministratore principale. Non si registrano indirizzi IP. Un accesso fatto senza il portale, per esempio con programmi diversi dal browser, non passa da qui: per quei casi restano i log di Supabase (Authentication → Logs). I tentativi non riusciti si contano al massimo 10 ogni 15 minuti per la stessa email, per non riempire il registro in caso di attacchi. Se l'utente chiude la finestra senza premere Esci non c'è la riga «uscita»: lo stato diventa «Non collegato» dopo circa 2 minuti.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(dal 20/10/2026, collaudo V01): tipo e nome dell'oggetto con il codice breve (le prime 8 cifre del suo identificativo), per esempio </w:t>
      </w:r>
      <w:r>
        <w:rPr>
          <w:rFonts w:ascii="Arial" w:cs="Arial" w:eastAsia="Arial" w:hAnsi="Arial"/>
          <w:i/>
          <w:iCs/>
          <w:color w:val="1B2118"/>
          <w:sz w:val="21"/>
          <w:szCs w:val="21"/>
        </w:rPr>
        <w:t xml:space="preserve">Scenario del simulatore «Obiettivo» (5c3a9e10)</w:t>
      </w:r>
      <w:r>
        <w:rPr>
          <w:rFonts w:ascii="Arial" w:cs="Arial" w:eastAsia="Arial" w:hAnsi="Arial"/>
          <w:color w:val="1B2118"/>
          <w:sz w:val="21"/>
          <w:szCs w:val="21"/>
        </w:rPr>
        <w:t xml:space="preserve">. Per le modifiche, </w:t>
      </w:r>
      <w:r>
        <w:rPr>
          <w:rFonts w:ascii="Arial" w:cs="Arial" w:eastAsia="Arial" w:hAnsi="Arial"/>
          <w:b/>
          <w:bCs/>
          <w:color w:val="1B2118"/>
          <w:sz w:val="21"/>
          <w:szCs w:val="21"/>
        </w:rPr>
        <w:t xml:space="preserve">n modifiche</w:t>
      </w:r>
      <w:r>
        <w:rPr>
          <w:rFonts w:ascii="Arial" w:cs="Arial" w:eastAsia="Arial" w:hAnsi="Arial"/>
          <w:color w:val="1B2118"/>
          <w:sz w:val="21"/>
          <w:szCs w:val="21"/>
        </w:rPr>
        <w:t xml:space="preserve"> si apre con un clic e mostra ogni campo cambiato «da → a»: per gli scenari buffer, popolazione e produzione anno per anno, valore del credito, crediti stimati e ora del ricalcolo. Le stesse informazioni sono nella scheda Operazioni di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e nel suo CSV (colonne «Id oggetto» e «Modifiche»). Gli eventi registrati non cambiano: la pagina li legge e basta.</w:t>
      </w:r>
    </w:p>
    <w:p>
      <w:pPr>
        <w:pStyle w:val="ListParagraph"/>
        <w:numPr>
          <w:ilvl w:val="0"/>
          <w:numId w:val="2"/>
        </w:numPr>
        <w:spacing w:after="70" w:line="290"/>
      </w:pPr>
      <w:r>
        <w:rPr>
          <w:rFonts w:ascii="Arial" w:cs="Arial" w:eastAsia="Arial" w:hAnsi="Arial"/>
          <w:b/>
          <w:bCs/>
          <w:color w:val="1B2118"/>
          <w:sz w:val="21"/>
          <w:szCs w:val="21"/>
        </w:rPr>
        <w:t xml:space="preserve">Testi lunghi</w:t>
      </w:r>
      <w:r>
        <w:rPr>
          <w:rFonts w:ascii="Arial" w:cs="Arial" w:eastAsia="Arial" w:hAnsi="Arial"/>
          <w:color w:val="1B2118"/>
          <w:sz w:val="21"/>
          <w:szCs w:val="21"/>
        </w:rPr>
        <w:t xml:space="preserve"> (dal 21/10/2026, collaudo V05): nella riga un valore lungo resta accorciato con «…», ma accanto compare </w:t>
      </w:r>
      <w:r>
        <w:rPr>
          <w:rFonts w:ascii="Arial" w:cs="Arial" w:eastAsia="Arial" w:hAnsi="Arial"/>
          <w:b/>
          <w:bCs/>
          <w:color w:val="1B2118"/>
          <w:sz w:val="21"/>
          <w:szCs w:val="21"/>
        </w:rPr>
        <w:t xml:space="preserve">Testo completo</w:t>
      </w:r>
      <w:r>
        <w:rPr>
          <w:rFonts w:ascii="Arial" w:cs="Arial" w:eastAsia="Arial" w:hAnsi="Arial"/>
          <w:color w:val="1B2118"/>
          <w:sz w:val="21"/>
          <w:szCs w:val="21"/>
        </w:rPr>
        <w:t xml:space="preserve">, che mostra i valori interi </w:t>
      </w:r>
      <w:r>
        <w:rPr>
          <w:rFonts w:ascii="Arial" w:cs="Arial" w:eastAsia="Arial" w:hAnsi="Arial"/>
          <w:b/>
          <w:bCs/>
          <w:color w:val="1B2118"/>
          <w:sz w:val="21"/>
          <w:szCs w:val="21"/>
        </w:rPr>
        <w:t xml:space="preserve">Prima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Dopo</w:t>
      </w:r>
      <w:r>
        <w:rPr>
          <w:rFonts w:ascii="Arial" w:cs="Arial" w:eastAsia="Arial" w:hAnsi="Arial"/>
          <w:color w:val="1B2118"/>
          <w:sz w:val="21"/>
          <w:szCs w:val="21"/>
        </w:rPr>
        <w:t xml:space="preserve"> (con gli a capo) e la parte </w:t>
      </w:r>
      <w:r>
        <w:rPr>
          <w:rFonts w:ascii="Arial" w:cs="Arial" w:eastAsia="Arial" w:hAnsi="Arial"/>
          <w:b/>
          <w:bCs/>
          <w:color w:val="1B2118"/>
          <w:sz w:val="21"/>
          <w:szCs w:val="21"/>
        </w:rPr>
        <w:t xml:space="preserve">Tolto</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Aggiunto</w:t>
      </w:r>
      <w:r>
        <w:rPr>
          <w:rFonts w:ascii="Arial" w:cs="Arial" w:eastAsia="Arial" w:hAnsi="Arial"/>
          <w:color w:val="1B2118"/>
          <w:sz w:val="21"/>
          <w:szCs w:val="21"/>
        </w:rPr>
        <w:t xml:space="preserve">. Così due note con lo stesso inizio non sembrano più uguali. Nel CSV di Audit User i valori sono interi.</w:t>
      </w:r>
    </w:p>
    <w:p>
      <w:pPr>
        <w:pStyle w:val="ListParagraph"/>
        <w:numPr>
          <w:ilvl w:val="0"/>
          <w:numId w:val="2"/>
        </w:numPr>
        <w:spacing w:after="70" w:line="290"/>
      </w:pPr>
      <w:r>
        <w:rPr>
          <w:rFonts w:ascii="Arial" w:cs="Arial" w:eastAsia="Arial" w:hAnsi="Arial"/>
          <w:color w:val="1B2118"/>
          <w:sz w:val="21"/>
          <w:szCs w:val="21"/>
        </w:rPr>
        <w:t xml:space="preserve">Per le organizzazioni compare la denominazione, per esempio </w:t>
      </w:r>
      <w:r>
        <w:rPr>
          <w:rFonts w:ascii="Arial" w:cs="Arial" w:eastAsia="Arial" w:hAnsi="Arial"/>
          <w:i/>
          <w:iCs/>
          <w:color w:val="1B2118"/>
          <w:sz w:val="21"/>
          <w:szCs w:val="21"/>
        </w:rPr>
        <w:t xml:space="preserve">Organizzazione «COLLAUDO AL V03 - COMUNE B - 20261020» (916f3283)</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oggetto (nome o codice di scenari e organizzazioni), motivazione e anche per il </w:t>
      </w:r>
      <w:r>
        <w:rPr>
          <w:rFonts w:ascii="Arial" w:cs="Arial" w:eastAsia="Arial" w:hAnsi="Arial"/>
          <w:b/>
          <w:bCs/>
          <w:color w:val="1B2118"/>
          <w:sz w:val="21"/>
          <w:szCs w:val="21"/>
        </w:rPr>
        <w:t xml:space="preserve">testo dei valori cambiati</w:t>
      </w:r>
      <w:r>
        <w:rPr>
          <w:rFonts w:ascii="Arial" w:cs="Arial" w:eastAsia="Arial" w:hAnsi="Arial"/>
          <w:color w:val="1B2118"/>
          <w:sz w:val="21"/>
          <w:szCs w:val="21"/>
        </w:rPr>
        <w:t xml:space="preserve"> (per esempio una riga aggiunta a metà di una nota).</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verifiche sull'accuratezza e accertamenti, cambi di stato della pratica (compresi ritiro e rientro), modifiche dei dati del Progetto, caricamenti di documenti con la versione, modifiche di visibilità, apertura e chiusura del feedback pubblico, moderazione delle osservazioni, richieste e chiusure di integrazione, incassi, emissioni, caricamenti sul registro, vendite e cancellazioni dei crediti, reclami, anagrafiche (organizzazioni, enti, registri), metodologie e informazioni del Programma,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Anagrafiche: Organizzazioni, Enti di Validazione e Registri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i delegati e le sue pratiche.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2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Dal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(Guida 7.2) indicate fino a 2 persone: </w:t>
      </w:r>
      <w:r>
        <w:rPr>
          <w:rFonts w:ascii="Arial" w:cs="Arial" w:eastAsia="Arial" w:hAnsi="Arial"/>
          <w:b/>
          <w:bCs/>
          <w:color w:val="1B2118"/>
          <w:sz w:val="21"/>
          <w:szCs w:val="21"/>
        </w:rPr>
        <w:t xml:space="preserve">Delegato 1 (rappresentante con account)</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Delegato 2 (sostituto, senza account)</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tipi</w:t>
      </w:r>
      <w:r>
        <w:rPr>
          <w:rFonts w:ascii="Arial" w:cs="Arial" w:eastAsia="Arial" w:hAnsi="Arial"/>
          <w:color w:val="1B2118"/>
          <w:sz w:val="21"/>
          <w:szCs w:val="21"/>
        </w:rPr>
        <w:t xml:space="preserve"> proposti sono i soggetti promotori ammessi dallo Standard CWP (4.4): Ente locale (T.U.E.L.), EGATO (Ente di governo dell'ambito), Soggetto gestore a partecipazione pubblica, Soggetto gestore delle tariffe, Soggetto gestore, Azienda, Altro. Le organizzazioni con un tipo inserito prima lo conservano.</w:t>
      </w: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di validazione e verifica (ad esempio RINA). Gli enti non accedono al portale. Sotto ogni ente compaiono le pratiche a cui è assegnato. Gli enti attivi compaiono sulla pagina pubblica del Programma.</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Registri</w:t>
      </w: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sono le piattaforme esterne di scambio riconosciute dal Programma (Guida 3.5, Standard cap. 6), su cui il promotore del progetto carica e vende i crediti. I registri attivi compaiono sulla pagina pubblica del Programma e si scelgono quando si caricano i crediti (capitolo «Crediti emessi»).</w:t>
      </w:r>
    </w:p>
    <w:p>
      <w:pPr>
        <w:pStyle w:val="ListParagraph"/>
        <w:numPr>
          <w:ilvl w:val="0"/>
          <w:numId w:val="2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registro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uno esistente).</w:t>
      </w:r>
    </w:p>
    <w:p>
      <w:pPr>
        <w:pStyle w:val="ListParagraph"/>
        <w:numPr>
          <w:ilvl w:val="0"/>
          <w:numId w:val="24"/>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Sito web</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Regolamento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Cancellazione tombale su blockchain</w:t>
      </w:r>
      <w:r>
        <w:rPr>
          <w:rFonts w:ascii="Arial" w:cs="Arial" w:eastAsia="Arial" w:hAnsi="Arial"/>
          <w:color w:val="1B2118"/>
          <w:sz w:val="21"/>
          <w:szCs w:val="21"/>
        </w:rPr>
        <w:t xml:space="preserve"> se il registro la offre (sarà obbligatoria dal 1° gennaio 2028).</w:t>
      </w:r>
    </w:p>
    <w:p>
      <w:pPr>
        <w:pStyle w:val="ListParagraph"/>
        <w:numPr>
          <w:ilvl w:val="0"/>
          <w:numId w:val="2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Attivo (nella lista pubblica)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registro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scegliere e sparisce dalla pagina pubblica.</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Impostazioni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sette sezioni: Il Programma (pagina pubblica), metodologie approvate, prezzo di riferimento del credito,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Il Programma (pagina pubblica)</w:t>
      </w:r>
    </w:p>
    <w:p>
      <w:pPr>
        <w:spacing w:after="140" w:line="300"/>
      </w:pPr>
      <w:r>
        <w:rPr>
          <w:rFonts w:ascii="Arial" w:cs="Arial" w:eastAsia="Arial" w:hAnsi="Arial"/>
          <w:color w:val="1B2118"/>
          <w:sz w:val="21"/>
          <w:szCs w:val="21"/>
        </w:rPr>
        <w:t xml:space="preserve">Le informazioni che compaiono sulla pagina pubblica del Programma (Guida 3.1 e 3.6):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 del Programma (anche per i reclami)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Sito ufficiale</w:t>
      </w:r>
      <w:r>
        <w:rPr>
          <w:rFonts w:ascii="Arial" w:cs="Arial" w:eastAsia="Arial" w:hAnsi="Arial"/>
          <w:color w:val="1B2118"/>
          <w:sz w:val="21"/>
          <w:szCs w:val="21"/>
        </w:rPr>
        <w:t xml:space="preserve">. Valori iniziali: soggetto promotore Fondazione Operate, gestore in esclusiva del Programma (parte commerciale e parte tecnologica, portale CWP) per conferimento dello Studio Associato Wastelab, proprietario del Programma (dal 19/10/2026); email info@carbonwasteprint.com; sito www.carbonwasteprint.com; PEC operate@pec.it (dal 19/10/2026). Tra i modelli di documento sono già pubblicati, come «Documento del Programma», gli otto documenti ufficiali v1.2 (Guida, Definizioni, Normativa, Standard, Metodologia, Politica di reclamo, Schema tariffario, Gestione della qualità dei dati), e il PDF della Metodologia è collegato alla metodologia approvata. Cambiate i campi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ogni modifica finisce nell'audit. Quando l'incarico al soggetto promotore sarà formalizzato, aggiornate il testo.</w:t>
      </w:r>
    </w:p>
    <w:p>
      <w:pPr>
        <w:pStyle w:val="Heading2"/>
        <w:keepNext/>
        <w:spacing w:after="120" w:before="240"/>
      </w:pPr>
      <w:r>
        <w:rPr>
          <w:rFonts w:ascii="Arial" w:cs="Arial" w:eastAsia="Arial" w:hAnsi="Arial"/>
          <w:b/>
          <w:bCs/>
          <w:color w:val="2F5D3A"/>
          <w:sz w:val="25"/>
          <w:szCs w:val="25"/>
        </w:rPr>
        <w:t xml:space="preserve">Prezzo di riferimento del credito</w:t>
      </w:r>
    </w:p>
    <w:p>
      <w:pPr>
        <w:spacing w:after="140" w:line="300"/>
      </w:pPr>
      <w:r>
        <w:rPr>
          <w:rFonts w:ascii="Arial" w:cs="Arial" w:eastAsia="Arial" w:hAnsi="Arial"/>
          <w:color w:val="1B2118"/>
          <w:sz w:val="21"/>
          <w:szCs w:val="21"/>
        </w:rPr>
        <w:t xml:space="preserve">Il prezzo in euro (iniziale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credito, come il valore proposto dal Simulatore) con cui la Dashboard dà un valore ai crediti calcolati ed emessi e agli scenari salvati senza valore del credito. Scrivete il nuovo prezzo (0-10.000 €, decimali con la virgola)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la modifica finisce nell'Audit («modifica prezzo di riferimento del credito»). Le vendite usano sempre il valore comunicato dal registro.</w:t>
      </w:r>
    </w:p>
    <w:p>
      <w:pPr>
        <w:pStyle w:val="Heading2"/>
        <w:keepNext/>
        <w:spacing w:after="120" w:before="240"/>
      </w:pPr>
      <w:r>
        <w:rPr>
          <w:rFonts w:ascii="Arial" w:cs="Arial" w:eastAsia="Arial" w:hAnsi="Arial"/>
          <w:b/>
          <w:bCs/>
          <w:color w:val="2F5D3A"/>
          <w:sz w:val="25"/>
          <w:szCs w:val="25"/>
        </w:rPr>
        <w:t xml:space="preserve">Metodologie approvate</w:t>
      </w:r>
    </w:p>
    <w:p>
      <w:pPr>
        <w:spacing w:after="140" w:line="300"/>
      </w:pPr>
      <w:r>
        <w:rPr>
          <w:rFonts w:ascii="Arial" w:cs="Arial" w:eastAsia="Arial" w:hAnsi="Arial"/>
          <w:color w:val="1B2118"/>
          <w:sz w:val="21"/>
          <w:szCs w:val="21"/>
        </w:rPr>
        <w:t xml:space="preserve">L'elenco delle metodologie del Programma (Guida cap. 5), pubblicato sulla pagina pubblica. È già presente la </w:t>
      </w:r>
      <w:r>
        <w:rPr>
          <w:rFonts w:ascii="Arial" w:cs="Arial" w:eastAsia="Arial" w:hAnsi="Arial"/>
          <w:i/>
          <w:iCs/>
          <w:color w:val="1B2118"/>
          <w:sz w:val="21"/>
          <w:szCs w:val="21"/>
        </w:rPr>
        <w:t xml:space="preserve">Metodologia Carbon WastePrint®</w:t>
      </w:r>
      <w:r>
        <w:rPr>
          <w:rFonts w:ascii="Arial" w:cs="Arial" w:eastAsia="Arial" w:hAnsi="Arial"/>
          <w:color w:val="1B2118"/>
          <w:sz w:val="21"/>
          <w:szCs w:val="21"/>
        </w:rPr>
        <w:t xml:space="preserve"> v1.2 del 04/09/2025 (Studio Associato Wastelab e Altraleonia S.r.l., UNI EN ISO 14064-2:2019).</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Metodologia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Nome</w:t>
      </w:r>
      <w:r>
        <w:rPr>
          <w:rFonts w:ascii="Arial" w:cs="Arial" w:eastAsia="Arial" w:hAnsi="Arial"/>
          <w:color w:val="1B2118"/>
          <w:sz w:val="21"/>
          <w:szCs w:val="21"/>
        </w:rPr>
        <w:t xml:space="preserve"> (obbligatorio), </w:t>
      </w:r>
      <w:r>
        <w:rPr>
          <w:rFonts w:ascii="Arial" w:cs="Arial" w:eastAsia="Arial" w:hAnsi="Arial"/>
          <w:b/>
          <w:bCs/>
          <w:color w:val="1B2118"/>
          <w:sz w:val="21"/>
          <w:szCs w:val="21"/>
        </w:rPr>
        <w:t xml:space="preserve">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Data della 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Sviluppatore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Norma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approvata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revisione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ritirata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Documento (modello pubblico)</w:t>
      </w:r>
      <w:r>
        <w:rPr>
          <w:rFonts w:ascii="Arial" w:cs="Arial" w:eastAsia="Arial" w:hAnsi="Arial"/>
          <w:color w:val="1B2118"/>
          <w:sz w:val="21"/>
          <w:szCs w:val="21"/>
        </w:rPr>
        <w:t xml:space="preserve"> potete collegare il documento della metodologia, se è stato caricato tra i modelli come pubblico.</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 metodologie ritirate non compaiono sulla pagina pubblica.</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 la durata della fase 3 è anche la durata del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6"/>
        <w:gridCol w:w="2285"/>
        <w:gridCol w:w="1809"/>
        <w:gridCol w:w="2558"/>
      </w:tblGrid>
      <w:tr>
        <w:trPr>
          <w:tblHeader/>
        </w:trPr>
        <w:tc>
          <w:tcPr>
            <w:tcW w:type="dxa" w:w="29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22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1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c>
          <w:tcPr>
            <w:tcW w:type="dxa" w:w="25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4"/>
        <w:gridCol w:w="3284"/>
        <w:gridCol w:w="2600"/>
      </w:tblGrid>
      <w:tr>
        <w:trPr>
          <w:tblHeader/>
        </w:trPr>
        <w:tc>
          <w:tcPr>
            <w:tcW w:type="dxa" w:w="3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32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6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30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 45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105</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 → 115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26"/>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26"/>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2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 Il portale ha già i documenti indicati dalla Guida al Programma (6.2.4, 6.3.1, Tabelle 3 e 4); l'Amministratore può toglierli o aggiungerne altri.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7052"/>
      </w:tblGrid>
      <w:tr>
        <w:trPr>
          <w:tblHeader/>
        </w:trPr>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7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Documenti preconfigurati</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progetto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di proprietà del progetto; 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validazione</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rapporto di monitoraggio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verifica; Dichiarazione relativa all'effettività della generazione dei crediti</w:t>
            </w:r>
          </w:p>
        </w:tc>
      </w:tr>
    </w:tbl>
    <w:p>
      <w:pPr>
        <w:spacing w:after="160"/>
      </w:pP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27"/>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 L'indicatore non blocca la chiusura della fase.</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 e, se pubblici, i documenti del Programma per tutti.</w:t>
      </w:r>
    </w:p>
    <w:p>
      <w:pPr>
        <w:pStyle w:val="ListParagraph"/>
        <w:numPr>
          <w:ilvl w:val="0"/>
          <w:numId w:val="2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28"/>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Anche sulla pagina pubblica del Programma</w:t>
      </w:r>
      <w:r>
        <w:rPr>
          <w:rFonts w:ascii="Arial" w:cs="Arial" w:eastAsia="Arial" w:hAnsi="Arial"/>
          <w:color w:val="1B2118"/>
          <w:sz w:val="21"/>
          <w:szCs w:val="21"/>
        </w:rPr>
        <w:t xml:space="preserve"> se il modello deve essere scaricabile da tutti, e scegliete la sezione: </w:t>
      </w:r>
      <w:r>
        <w:rPr>
          <w:rFonts w:ascii="Arial" w:cs="Arial" w:eastAsia="Arial" w:hAnsi="Arial"/>
          <w:b/>
          <w:bCs/>
          <w:color w:val="1B2118"/>
          <w:sz w:val="21"/>
          <w:szCs w:val="21"/>
        </w:rPr>
        <w:t xml:space="preserve">Documento del Programma</w:t>
      </w:r>
      <w:r>
        <w:rPr>
          <w:rFonts w:ascii="Arial" w:cs="Arial" w:eastAsia="Arial" w:hAnsi="Arial"/>
          <w:color w:val="1B2118"/>
          <w:sz w:val="21"/>
          <w:szCs w:val="21"/>
        </w:rPr>
        <w:t xml:space="preserve"> (Guida, Standard, Schema tariffario, Politica di reclamo…) oppure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Nell'elenco,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la scelta della sezione si cambiano anche dopo il caricamento. 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sparisce anche dalla pagina pubblica e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Calcolo dei crediti CWP</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(prima «Crediti CWP») apre la pagina </w:t>
      </w:r>
      <w:r>
        <w:rPr>
          <w:rFonts w:ascii="Arial" w:cs="Arial" w:eastAsia="Arial" w:hAnsi="Arial"/>
          <w:i/>
          <w:iCs/>
          <w:color w:val="1B2118"/>
          <w:sz w:val="21"/>
          <w:szCs w:val="21"/>
        </w:rPr>
        <w:t xml:space="preserve">Calcolo crediti</w:t>
      </w:r>
      <w:r>
        <w:rPr>
          <w:rFonts w:ascii="Arial" w:cs="Arial" w:eastAsia="Arial" w:hAnsi="Arial"/>
          <w:color w:val="1B2118"/>
          <w:sz w:val="21"/>
          <w:szCs w:val="21"/>
        </w:rPr>
        <w:t xml:space="preserve">, che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 L'emissione vera e propria dei crediti si fa poi nel Rapporto (capitolo «Crediti emessi»).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Il tracciato (passo 5b)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(la Banca Dati Utenze per utenza del passo 5a, descritta più avanti, contiene invece nomi e indirizzi, con le protezioni indicate lì):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Banca Dati Utenze per utenza (passo 5a)</w:t>
      </w:r>
    </w:p>
    <w:p>
      <w:pPr>
        <w:spacing w:after="140" w:line="300"/>
      </w:pPr>
      <w:r>
        <w:rPr>
          <w:rFonts w:ascii="Arial" w:cs="Arial" w:eastAsia="Arial" w:hAnsi="Arial"/>
          <w:color w:val="1B2118"/>
          <w:sz w:val="21"/>
          <w:szCs w:val="21"/>
        </w:rPr>
        <w:t xml:space="preserve">Il calcolo dei crediti usa un formato </w:t>
      </w:r>
      <w:r>
        <w:rPr>
          <w:rFonts w:ascii="Arial" w:cs="Arial" w:eastAsia="Arial" w:hAnsi="Arial"/>
          <w:b/>
          <w:bCs/>
          <w:color w:val="1B2118"/>
          <w:sz w:val="21"/>
          <w:szCs w:val="21"/>
        </w:rPr>
        <w:t xml:space="preserve">per utenza</w:t>
      </w:r>
      <w:r>
        <w:rPr>
          <w:rFonts w:ascii="Arial" w:cs="Arial" w:eastAsia="Arial" w:hAnsi="Arial"/>
          <w:color w:val="1B2118"/>
          <w:sz w:val="21"/>
          <w:szCs w:val="21"/>
        </w:rPr>
        <w:t xml:space="preserve">: ogni anno il Comune o il gestore compila il modello </w:t>
      </w:r>
      <w:r>
        <w:rPr>
          <w:rFonts w:ascii="Arial" w:cs="Arial" w:eastAsia="Arial" w:hAnsi="Arial"/>
          <w:b/>
          <w:bCs/>
          <w:color w:val="1B2118"/>
          <w:sz w:val="21"/>
          <w:szCs w:val="21"/>
        </w:rPr>
        <w:t xml:space="preserve">Banca dati utenze CWP</w:t>
      </w:r>
      <w:r>
        <w:rPr>
          <w:rFonts w:ascii="Arial" w:cs="Arial" w:eastAsia="Arial" w:hAnsi="Arial"/>
          <w:color w:val="1B2118"/>
          <w:sz w:val="21"/>
          <w:szCs w:val="21"/>
        </w:rPr>
        <w:t xml:space="preserve"> con l'elenco </w:t>
      </w:r>
      <w:r>
        <w:rPr>
          <w:rFonts w:ascii="Arial" w:cs="Arial" w:eastAsia="Arial" w:hAnsi="Arial"/>
          <w:b/>
          <w:bCs/>
          <w:color w:val="1B2118"/>
          <w:sz w:val="21"/>
          <w:szCs w:val="21"/>
        </w:rPr>
        <w:t xml:space="preserve">completo</w:t>
      </w:r>
      <w:r>
        <w:rPr>
          <w:rFonts w:ascii="Arial" w:cs="Arial" w:eastAsia="Arial" w:hAnsi="Arial"/>
          <w:color w:val="1B2118"/>
          <w:sz w:val="21"/>
          <w:szCs w:val="21"/>
        </w:rPr>
        <w:t xml:space="preserve"> delle utenze dell'anno, domestiche e non domestiche, e lo carica nel calcolo di quell'anno. Nessun dato si riprende dall'anno precedente, perché le utenze cambiano di continuo.</w:t>
      </w:r>
    </w:p>
    <w:p>
      <w:pPr>
        <w:spacing w:after="140" w:line="300"/>
      </w:pPr>
      <w:r>
        <w:rPr>
          <w:rFonts w:ascii="Arial" w:cs="Arial" w:eastAsia="Arial" w:hAnsi="Arial"/>
          <w:b/>
          <w:bCs/>
          <w:color w:val="1B2118"/>
          <w:sz w:val="21"/>
          <w:szCs w:val="21"/>
        </w:rPr>
        <w:t xml:space="preserve">Foglio Utenze_domestiche</w:t>
      </w:r>
      <w:r>
        <w:rPr>
          <w:rFonts w:ascii="Arial" w:cs="Arial" w:eastAsia="Arial" w:hAnsi="Arial"/>
          <w:color w:val="1B2118"/>
          <w:sz w:val="21"/>
          <w:szCs w:val="21"/>
        </w:rPr>
        <w:t xml:space="preserve"> — una riga per ogni utenza domestica attiva nell'anno.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9"/>
        <w:gridCol w:w="1760"/>
        <w:gridCol w:w="3939"/>
      </w:tblGrid>
      <w:tr>
        <w:trPr>
          <w:tblHeader/>
        </w:trPr>
        <w:tc>
          <w:tcPr>
            <w:tcW w:type="dxa" w:w="393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Colonna</w:t>
            </w:r>
          </w:p>
        </w:tc>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Obbligatoria</w:t>
            </w:r>
          </w:p>
        </w:tc>
        <w:tc>
          <w:tcPr>
            <w:tcW w:type="dxa" w:w="393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utenza</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dell'utenza nel sistema del Comune o del gestore (es. codice TARI); unico nel file</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capofamiglia</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 cognome dell'intestatario</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Indirizzo</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Via, numero civico ed eventuale interno</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Categoria tariffaria</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Classe della quota variabile nella delibera TARI (di solito il numero di componenti: 1, 2, … 6 e oltre). Se presente, il portale la propone come </w:t>
            </w:r>
            <w:r>
              <w:rPr>
                <w:rFonts w:ascii="Arial" w:cs="Arial" w:eastAsia="Arial" w:hAnsi="Arial"/>
                <w:b/>
                <w:bCs/>
                <w:color w:val="1B2118"/>
                <w:sz w:val="18"/>
                <w:szCs w:val="18"/>
              </w:rPr>
              <w:t xml:space="preserve">categoria di simulazione</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 componenti</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Componenti del nucleo familiare: colloca l'utenza nella classe della delibera (Kb); se manca si usano i valori medi</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Mq abitazione</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Superficie dell'abitazione in m²</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Produzione totale (kg)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prodotti nell'anno, somma di tutte le frazioni</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Indifferenziato (kg)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residuo dell'anno, anche 0</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Organico, Carta e cartone, Plastica, Vetro, Metallo, Verde, Legno, Tessili, RAEE, Ingombranti, Inerti (kg)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Kg di ciascuna frazione nell'anno; vuoto = frazione non raccolta o non misurata (vuoto è diverso da 0)</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Svuotamenti (una colonna per frazione)</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svuotamenti o conferimenti della frazione nell'anno, intero</w:t>
            </w:r>
          </w:p>
        </w:tc>
      </w:tr>
    </w:tbl>
    <w:p>
      <w:pPr>
        <w:spacing w:after="160"/>
      </w:pPr>
    </w:p>
    <w:p>
      <w:pPr>
        <w:spacing w:after="140" w:line="300"/>
      </w:pPr>
      <w:r>
        <w:rPr>
          <w:rFonts w:ascii="Arial" w:cs="Arial" w:eastAsia="Arial" w:hAnsi="Arial"/>
          <w:b/>
          <w:bCs/>
          <w:color w:val="1B2118"/>
          <w:sz w:val="21"/>
          <w:szCs w:val="21"/>
        </w:rPr>
        <w:t xml:space="preserve">Foglio Utenze_non_domestiche</w:t>
      </w:r>
      <w:r>
        <w:rPr>
          <w:rFonts w:ascii="Arial" w:cs="Arial" w:eastAsia="Arial" w:hAnsi="Arial"/>
          <w:color w:val="1B2118"/>
          <w:sz w:val="21"/>
          <w:szCs w:val="21"/>
        </w:rPr>
        <w:t xml:space="preserve"> — una riga per ogni attività, ente o ufficio. Stesse colonne, con queste differenze: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8"/>
        <w:gridCol w:w="1945"/>
        <w:gridCol w:w="5985"/>
      </w:tblGrid>
      <w:tr>
        <w:trPr>
          <w:tblHeader/>
        </w:trPr>
        <w:tc>
          <w:tcPr>
            <w:tcW w:type="dxa" w:w="170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Colonna</w:t>
            </w:r>
          </w:p>
        </w:tc>
        <w:tc>
          <w:tcPr>
            <w:tcW w:type="dxa" w:w="194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Obbligatoria</w:t>
            </w:r>
          </w:p>
        </w:tc>
        <w:tc>
          <w:tcPr>
            <w:tcW w:type="dxa" w:w="5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Ragione sociale</w:t>
            </w:r>
          </w:p>
        </w:tc>
        <w:tc>
          <w:tcPr>
            <w:tcW w:type="dxa" w:w="1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5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 posto del nome del capofamiglia</w:t>
            </w:r>
          </w:p>
        </w:tc>
      </w:tr>
      <w:tr>
        <w:trPr>
          <w:cantSplit/>
        </w:trPr>
        <w:tc>
          <w:tcPr>
            <w:tcW w:type="dxa" w:w="17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Categoria tariffaria</w:t>
            </w:r>
          </w:p>
        </w:tc>
        <w:tc>
          <w:tcPr>
            <w:tcW w:type="dxa" w:w="1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 ma da compilare se nota</w:t>
            </w:r>
          </w:p>
        </w:tc>
        <w:tc>
          <w:tcPr>
            <w:tcW w:type="dxa" w:w="5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della categoria della delibera TARI (DPR 158/1999, es. 22 = ristoranti; il foglio Categorie ha l'elenco di riferimento). Se presente, il portale la propone come </w:t>
            </w:r>
            <w:r>
              <w:rPr>
                <w:rFonts w:ascii="Arial" w:cs="Arial" w:eastAsia="Arial" w:hAnsi="Arial"/>
                <w:b/>
                <w:bCs/>
                <w:color w:val="1B2118"/>
                <w:sz w:val="18"/>
                <w:szCs w:val="18"/>
              </w:rPr>
              <w:t xml:space="preserve">categoria di simulazione</w:t>
            </w:r>
          </w:p>
        </w:tc>
      </w:tr>
      <w:tr>
        <w:trPr>
          <w:cantSplit/>
        </w:trPr>
        <w:tc>
          <w:tcPr>
            <w:tcW w:type="dxa" w:w="17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Mq locali</w:t>
            </w:r>
          </w:p>
        </w:tc>
        <w:tc>
          <w:tcPr>
            <w:tcW w:type="dxa" w:w="1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5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Superficie tassata dei locali in m² (al posto dei mq dell'abitazione); se manca si usano i valori medi della categoria</w:t>
            </w:r>
          </w:p>
        </w:tc>
      </w:tr>
      <w:tr>
        <w:trPr>
          <w:cantSplit/>
        </w:trPr>
        <w:tc>
          <w:tcPr>
            <w:tcW w:type="dxa" w:w="17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 componenti</w:t>
            </w:r>
          </w:p>
        </w:tc>
        <w:tc>
          <w:tcPr>
            <w:tcW w:type="dxa" w:w="1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5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c'è: vale solo per le domestiche</w:t>
            </w:r>
          </w:p>
        </w:tc>
      </w:tr>
    </w:tbl>
    <w:p>
      <w:pPr>
        <w:spacing w:after="160"/>
      </w:pPr>
    </w:p>
    <w:p>
      <w:pPr>
        <w:spacing w:after="140" w:line="300"/>
      </w:pPr>
      <w:r>
        <w:rPr>
          <w:rFonts w:ascii="Arial" w:cs="Arial" w:eastAsia="Arial" w:hAnsi="Arial"/>
          <w:b/>
          <w:bCs/>
          <w:color w:val="1B2118"/>
          <w:sz w:val="21"/>
          <w:szCs w:val="21"/>
        </w:rPr>
        <w:t xml:space="preserve">Categoria di simulazione.</w:t>
      </w:r>
      <w:r>
        <w:rPr>
          <w:rFonts w:ascii="Arial" w:cs="Arial" w:eastAsia="Arial" w:hAnsi="Arial"/>
          <w:color w:val="1B2118"/>
          <w:sz w:val="21"/>
          <w:szCs w:val="21"/>
        </w:rPr>
        <w:t xml:space="preserve"> Non è nel file: è un campo del portale, per ogni utenza, che dice quale classe o categoria usa il calcolo per i rifiuti attesi. All'arrivo del file il portale la propone uguale alla categoria tariffaria; la Fondazione può cambiarla dal modulo dell'utenza. Le utenze senza categoria tariffaria restano «da assegnare» finché non la si indica.</w:t>
      </w:r>
    </w:p>
    <w:p>
      <w:pPr>
        <w:spacing w:after="140" w:line="300"/>
      </w:pPr>
      <w:r>
        <w:rPr>
          <w:rFonts w:ascii="Arial" w:cs="Arial" w:eastAsia="Arial" w:hAnsi="Arial"/>
          <w:b/>
          <w:bCs/>
          <w:color w:val="1B2118"/>
          <w:sz w:val="21"/>
          <w:szCs w:val="21"/>
        </w:rPr>
        <w:t xml:space="preserve">Regole.</w:t>
      </w:r>
    </w:p>
    <w:p>
      <w:pPr>
        <w:pStyle w:val="ListParagraph"/>
        <w:numPr>
          <w:ilvl w:val="0"/>
          <w:numId w:val="2"/>
        </w:numPr>
        <w:spacing w:after="70" w:line="290"/>
      </w:pPr>
      <w:r>
        <w:rPr>
          <w:rFonts w:ascii="Arial" w:cs="Arial" w:eastAsia="Arial" w:hAnsi="Arial"/>
          <w:color w:val="1B2118"/>
          <w:sz w:val="21"/>
          <w:szCs w:val="21"/>
        </w:rPr>
        <w:t xml:space="preserve">Ogni anno si carica l'</w:t>
      </w:r>
      <w:r>
        <w:rPr>
          <w:rFonts w:ascii="Arial" w:cs="Arial" w:eastAsia="Arial" w:hAnsi="Arial"/>
          <w:b/>
          <w:bCs/>
          <w:color w:val="1B2118"/>
          <w:sz w:val="21"/>
          <w:szCs w:val="21"/>
        </w:rPr>
        <w:t xml:space="preserve">elenco completo</w:t>
      </w:r>
      <w:r>
        <w:rPr>
          <w:rFonts w:ascii="Arial" w:cs="Arial" w:eastAsia="Arial" w:hAnsi="Arial"/>
          <w:color w:val="1B2118"/>
          <w:sz w:val="21"/>
          <w:szCs w:val="21"/>
        </w:rPr>
        <w:t xml:space="preserve"> delle utenze, domestiche e non domestiche: le utenze cambiano di continuo e nessun dato si riprende dall'anno prima.</w:t>
      </w:r>
    </w:p>
    <w:p>
      <w:pPr>
        <w:pStyle w:val="ListParagraph"/>
        <w:numPr>
          <w:ilvl w:val="0"/>
          <w:numId w:val="2"/>
        </w:numPr>
        <w:spacing w:after="70" w:line="290"/>
      </w:pPr>
      <w:r>
        <w:rPr>
          <w:rFonts w:ascii="Arial" w:cs="Arial" w:eastAsia="Arial" w:hAnsi="Arial"/>
          <w:color w:val="1B2118"/>
          <w:sz w:val="21"/>
          <w:szCs w:val="21"/>
        </w:rPr>
        <w:t xml:space="preserve">Numeri senza unità di misura; decimali con la virgola.</w:t>
      </w:r>
    </w:p>
    <w:p>
      <w:pPr>
        <w:pStyle w:val="ListParagraph"/>
        <w:numPr>
          <w:ilvl w:val="0"/>
          <w:numId w:val="2"/>
        </w:numPr>
        <w:spacing w:after="70" w:line="290"/>
      </w:pPr>
      <w:r>
        <w:rPr>
          <w:rFonts w:ascii="Arial" w:cs="Arial" w:eastAsia="Arial" w:hAnsi="Arial"/>
          <w:color w:val="1B2118"/>
          <w:sz w:val="21"/>
          <w:szCs w:val="21"/>
        </w:rPr>
        <w:t xml:space="preserve">La produzione totale deve corrispondere alla somma delle frazioni: il portale segnala le differenze oltre l'1%.</w:t>
      </w:r>
    </w:p>
    <w:p>
      <w:pPr>
        <w:pStyle w:val="ListParagraph"/>
        <w:numPr>
          <w:ilvl w:val="0"/>
          <w:numId w:val="2"/>
        </w:numPr>
        <w:spacing w:after="70" w:line="290"/>
      </w:pPr>
      <w:r>
        <w:rPr>
          <w:rFonts w:ascii="Arial" w:cs="Arial" w:eastAsia="Arial" w:hAnsi="Arial"/>
          <w:color w:val="1B2118"/>
          <w:sz w:val="21"/>
          <w:szCs w:val="21"/>
        </w:rPr>
        <w:t xml:space="preserve">Oltre 1 milione di righe o 50 MB: un CSV per foglio, con lo stesso nome, dentro uno ZIP.</w:t>
      </w:r>
    </w:p>
    <w:p>
      <w:pPr>
        <w:spacing w:after="140" w:line="30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Questo modello contiene nomi e indirizzi, a differenza del tracciato attuale. Nel portale li vedono solo Operatori e Amministratori. Ogni consultazione dell'elenco finisce nell'Audit («consultazione utenze»), così come ogni caricamento («caricamento utenze», con il solo numero di utenze) e ogni cancellazione. Nomi e indirizzi non compaiono nei rapporti di calcolo, nei fascicoli né nelle pagine pubbliche. Prima dell'uso con dati reali servono la valutazione d'impatto (DPIA) e l'accordo sul trattamento con ogni Comune.</w:t>
      </w:r>
    </w:p>
    <w:p>
      <w:pPr>
        <w:spacing w:after="140" w:line="300"/>
      </w:pPr>
      <w:r>
        <w:rPr>
          <w:rFonts w:ascii="Arial" w:cs="Arial" w:eastAsia="Arial" w:hAnsi="Arial"/>
          <w:b/>
          <w:bCs/>
          <w:color w:val="1B2118"/>
          <w:sz w:val="21"/>
          <w:szCs w:val="21"/>
        </w:rPr>
        <w:t xml:space="preserve">Gestire le utenze nel portale.</w:t>
      </w:r>
      <w:r>
        <w:rPr>
          <w:rFonts w:ascii="Arial" w:cs="Arial" w:eastAsia="Arial" w:hAnsi="Arial"/>
          <w:color w:val="1B2118"/>
          <w:sz w:val="21"/>
          <w:szCs w:val="21"/>
        </w:rPr>
        <w:t xml:space="preserve"> Nel calcolo aprite il passo </w:t>
      </w:r>
      <w:r>
        <w:rPr>
          <w:rFonts w:ascii="Arial" w:cs="Arial" w:eastAsia="Arial" w:hAnsi="Arial"/>
          <w:b/>
          <w:bCs/>
          <w:color w:val="1B2118"/>
          <w:sz w:val="21"/>
          <w:szCs w:val="21"/>
        </w:rPr>
        <w:t xml:space="preserve">5a. Utenze del calcolo</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In alto tre riquadri: utenze domestiche, non domestiche e utenze </w:t>
      </w:r>
      <w:r>
        <w:rPr>
          <w:rFonts w:ascii="Arial" w:cs="Arial" w:eastAsia="Arial" w:hAnsi="Arial"/>
          <w:b/>
          <w:bCs/>
          <w:color w:val="1B2118"/>
          <w:sz w:val="21"/>
          <w:szCs w:val="21"/>
        </w:rPr>
        <w:t xml:space="preserve">senza categoria di simulazione</w:t>
      </w:r>
      <w:r>
        <w:rPr>
          <w:rFonts w:ascii="Arial" w:cs="Arial" w:eastAsia="Arial" w:hAnsi="Arial"/>
          <w:color w:val="1B2118"/>
          <w:sz w:val="21"/>
          <w:szCs w:val="21"/>
        </w:rPr>
        <w:t xml:space="preserve"> (arancione se ce ne sono).</w:t>
      </w:r>
    </w:p>
    <w:p>
      <w:pPr>
        <w:pStyle w:val="ListParagraph"/>
        <w:numPr>
          <w:ilvl w:val="0"/>
          <w:numId w:val="29"/>
        </w:numPr>
        <w:spacing w:after="70" w:line="290"/>
      </w:pPr>
      <w:r>
        <w:rPr>
          <w:rFonts w:ascii="Arial" w:cs="Arial" w:eastAsia="Arial" w:hAnsi="Arial"/>
          <w:b/>
          <w:bCs/>
          <w:color w:val="1B2118"/>
          <w:sz w:val="21"/>
          <w:szCs w:val="21"/>
        </w:rPr>
        <w:t xml:space="preserve">Carica il file dell'anno</w:t>
      </w:r>
      <w:r>
        <w:rPr>
          <w:rFonts w:ascii="Arial" w:cs="Arial" w:eastAsia="Arial" w:hAnsi="Arial"/>
          <w:color w:val="1B2118"/>
          <w:sz w:val="21"/>
          <w:szCs w:val="21"/>
        </w:rPr>
        <w:t xml:space="preserve"> e scegliete il file compilato (Excel, oppure ZIP di CSV). Il portale mostra l'anteprima: numero di utenze, eventuali </w:t>
      </w:r>
      <w:r>
        <w:rPr>
          <w:rFonts w:ascii="Arial" w:cs="Arial" w:eastAsia="Arial" w:hAnsi="Arial"/>
          <w:b/>
          <w:bCs/>
          <w:color w:val="1B2118"/>
          <w:sz w:val="21"/>
          <w:szCs w:val="21"/>
        </w:rPr>
        <w:t xml:space="preserve">errori</w:t>
      </w:r>
      <w:r>
        <w:rPr>
          <w:rFonts w:ascii="Arial" w:cs="Arial" w:eastAsia="Arial" w:hAnsi="Arial"/>
          <w:color w:val="1B2118"/>
          <w:sz w:val="21"/>
          <w:szCs w:val="21"/>
        </w:rPr>
        <w:t xml:space="preserve"> (foglio, riga e codice; con un errore il file non si carica e l'elenco attuale non cambia) e </w:t>
      </w:r>
      <w:r>
        <w:rPr>
          <w:rFonts w:ascii="Arial" w:cs="Arial" w:eastAsia="Arial" w:hAnsi="Arial"/>
          <w:b/>
          <w:bCs/>
          <w:color w:val="1B2118"/>
          <w:sz w:val="21"/>
          <w:szCs w:val="21"/>
        </w:rPr>
        <w:t xml:space="preserve">avvisi</w:t>
      </w:r>
      <w:r>
        <w:rPr>
          <w:rFonts w:ascii="Arial" w:cs="Arial" w:eastAsia="Arial" w:hAnsi="Arial"/>
          <w:color w:val="1B2118"/>
          <w:sz w:val="21"/>
          <w:szCs w:val="21"/>
        </w:rPr>
        <w:t xml:space="preserve"> (produzione totale diversa dalla somma delle frazioni, utenze senza categoria). Premete </w:t>
      </w:r>
      <w:r>
        <w:rPr>
          <w:rFonts w:ascii="Arial" w:cs="Arial" w:eastAsia="Arial" w:hAnsi="Arial"/>
          <w:b/>
          <w:bCs/>
          <w:color w:val="1B2118"/>
          <w:sz w:val="21"/>
          <w:szCs w:val="21"/>
        </w:rPr>
        <w:t xml:space="preserve">Sostituisci l'elenco</w:t>
      </w:r>
      <w:r>
        <w:rPr>
          <w:rFonts w:ascii="Arial" w:cs="Arial" w:eastAsia="Arial" w:hAnsi="Arial"/>
          <w:color w:val="1B2118"/>
          <w:sz w:val="21"/>
          <w:szCs w:val="21"/>
        </w:rPr>
        <w:t xml:space="preserve">: le utenze precedenti del calcolo sono tolte e sostituite da quelle del file.</w:t>
      </w:r>
    </w:p>
    <w:p>
      <w:pPr>
        <w:pStyle w:val="ListParagraph"/>
        <w:numPr>
          <w:ilvl w:val="0"/>
          <w:numId w:val="29"/>
        </w:numPr>
        <w:spacing w:after="70" w:line="290"/>
      </w:pPr>
      <w:r>
        <w:rPr>
          <w:rFonts w:ascii="Arial" w:cs="Arial" w:eastAsia="Arial" w:hAnsi="Arial"/>
          <w:color w:val="1B2118"/>
          <w:sz w:val="21"/>
          <w:szCs w:val="21"/>
        </w:rPr>
        <w:t xml:space="preserve">Le schede </w:t>
      </w:r>
      <w:r>
        <w:rPr>
          <w:rFonts w:ascii="Arial" w:cs="Arial" w:eastAsia="Arial" w:hAnsi="Arial"/>
          <w:b/>
          <w:bCs/>
          <w:color w:val="1B2118"/>
          <w:sz w:val="21"/>
          <w:szCs w:val="21"/>
        </w:rPr>
        <w:t xml:space="preserve">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Utenze non domestiche</w:t>
      </w:r>
      <w:r>
        <w:rPr>
          <w:rFonts w:ascii="Arial" w:cs="Arial" w:eastAsia="Arial" w:hAnsi="Arial"/>
          <w:color w:val="1B2118"/>
          <w:sz w:val="21"/>
          <w:szCs w:val="21"/>
        </w:rPr>
        <w:t xml:space="preserve"> mostrano l'elenco, 50 per pagina, con codice, nome o ragione sociale, indirizzo, categoria tariffaria e di simulazione («da assegnare» se manca), componenti o mq, produzione totale (con «≠ somma» se non corrisponde alle frazioni), indifferenziato e percentuale di differenziata.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trova per codice, nome, indirizzo o categoria.</w:t>
      </w:r>
    </w:p>
    <w:p>
      <w:pPr>
        <w:pStyle w:val="ListParagraph"/>
        <w:numPr>
          <w:ilvl w:val="0"/>
          <w:numId w:val="29"/>
        </w:numPr>
        <w:spacing w:after="70" w:line="290"/>
      </w:pPr>
      <w:r>
        <w:rPr>
          <w:rFonts w:ascii="Arial" w:cs="Arial" w:eastAsia="Arial" w:hAnsi="Arial"/>
          <w:color w:val="1B2118"/>
          <w:sz w:val="21"/>
          <w:szCs w:val="21"/>
        </w:rPr>
        <w:t xml:space="preserve">Toccate il </w:t>
      </w:r>
      <w:r>
        <w:rPr>
          <w:rFonts w:ascii="Arial" w:cs="Arial" w:eastAsia="Arial" w:hAnsi="Arial"/>
          <w:b/>
          <w:bCs/>
          <w:color w:val="1B2118"/>
          <w:sz w:val="21"/>
          <w:szCs w:val="21"/>
        </w:rPr>
        <w:t xml:space="preserve">codice</w:t>
      </w:r>
      <w:r>
        <w:rPr>
          <w:rFonts w:ascii="Arial" w:cs="Arial" w:eastAsia="Arial" w:hAnsi="Arial"/>
          <w:color w:val="1B2118"/>
          <w:sz w:val="21"/>
          <w:szCs w:val="21"/>
        </w:rPr>
        <w:t xml:space="preserve"> di un'utenza per aprire il suo modulo: tutti i campi, le frazioni con kg e svuotamenti, gli errori e gli avvisi in fondo. La </w:t>
      </w:r>
      <w:r>
        <w:rPr>
          <w:rFonts w:ascii="Arial" w:cs="Arial" w:eastAsia="Arial" w:hAnsi="Arial"/>
          <w:b/>
          <w:bCs/>
          <w:color w:val="1B2118"/>
          <w:sz w:val="21"/>
          <w:szCs w:val="21"/>
        </w:rPr>
        <w:t xml:space="preserve">categoria di simulazione</w:t>
      </w:r>
      <w:r>
        <w:rPr>
          <w:rFonts w:ascii="Arial" w:cs="Arial" w:eastAsia="Arial" w:hAnsi="Arial"/>
          <w:color w:val="1B2118"/>
          <w:sz w:val="21"/>
          <w:szCs w:val="21"/>
        </w:rPr>
        <w:t xml:space="preserve"> segue la tariffaria finché non la cambiate a mano. Il pulsante </w:t>
      </w:r>
      <w:r>
        <w:rPr>
          <w:rFonts w:ascii="Arial" w:cs="Arial" w:eastAsia="Arial" w:hAnsi="Arial"/>
          <w:b/>
          <w:bCs/>
          <w:color w:val="1B2118"/>
          <w:sz w:val="21"/>
          <w:szCs w:val="21"/>
        </w:rPr>
        <w:t xml:space="preserve">= somma delle frazioni</w:t>
      </w:r>
      <w:r>
        <w:rPr>
          <w:rFonts w:ascii="Arial" w:cs="Arial" w:eastAsia="Arial" w:hAnsi="Arial"/>
          <w:color w:val="1B2118"/>
          <w:sz w:val="21"/>
          <w:szCs w:val="21"/>
        </w:rPr>
        <w:t xml:space="preserve"> riporta la produzione totale alla somma.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Elimina utenza</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b/>
          <w:bCs/>
          <w:color w:val="1B2118"/>
          <w:sz w:val="21"/>
          <w:szCs w:val="21"/>
        </w:rPr>
        <w:t xml:space="preserve">+ Nuova utenza domestica / non domestica</w:t>
      </w:r>
      <w:r>
        <w:rPr>
          <w:rFonts w:ascii="Arial" w:cs="Arial" w:eastAsia="Arial" w:hAnsi="Arial"/>
          <w:color w:val="1B2118"/>
          <w:sz w:val="21"/>
          <w:szCs w:val="21"/>
        </w:rPr>
        <w:t xml:space="preserve"> apre lo stesso modulo vuoto. </w:t>
      </w:r>
      <w:r>
        <w:rPr>
          <w:rFonts w:ascii="Arial" w:cs="Arial" w:eastAsia="Arial" w:hAnsi="Arial"/>
          <w:b/>
          <w:bCs/>
          <w:color w:val="1B2118"/>
          <w:sz w:val="21"/>
          <w:szCs w:val="21"/>
        </w:rPr>
        <w:t xml:space="preserve">Svuota l'elenco</w:t>
      </w:r>
      <w:r>
        <w:rPr>
          <w:rFonts w:ascii="Arial" w:cs="Arial" w:eastAsia="Arial" w:hAnsi="Arial"/>
          <w:color w:val="1B2118"/>
          <w:sz w:val="21"/>
          <w:szCs w:val="21"/>
        </w:rPr>
        <w:t xml:space="preserve"> toglie tutte le utenze.</w:t>
      </w:r>
    </w:p>
    <w:p>
      <w:pPr>
        <w:spacing w:after="60"/>
      </w:pPr>
    </w:p>
    <w:p>
      <w:pPr>
        <w:spacing w:after="140" w:line="300"/>
      </w:pPr>
      <w:r>
        <w:rPr>
          <w:rFonts w:ascii="Arial" w:cs="Arial" w:eastAsia="Arial" w:hAnsi="Arial"/>
          <w:color w:val="1B2118"/>
          <w:sz w:val="21"/>
          <w:szCs w:val="21"/>
        </w:rPr>
        <w:t xml:space="preserve">Ogni modifica azzera il risultato della bozza (va premuto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In un calcolo confermato il passo è in sola lettura. Nell'</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le operazioni compaiono come «caricamento utenze» (con il numero di utenze), «consultazione utenze» (con la ricerca), «inserimento», «modifica» e «cancellazione utenza» (con il codice e i campi cambiati), senza nomi né indirizzi.</w:t>
      </w:r>
    </w:p>
    <w:p>
      <w:pPr>
        <w:spacing w:after="140" w:line="300"/>
      </w:pPr>
      <w:r>
        <w:rPr>
          <w:rFonts w:ascii="Arial" w:cs="Arial" w:eastAsia="Arial" w:hAnsi="Arial"/>
          <w:b/>
          <w:bCs/>
          <w:color w:val="1B2118"/>
          <w:sz w:val="21"/>
          <w:szCs w:val="21"/>
        </w:rPr>
        <w:t xml:space="preserve">Calcolo di prova.</w:t>
      </w:r>
      <w:r>
        <w:rPr>
          <w:rFonts w:ascii="Arial" w:cs="Arial" w:eastAsia="Arial" w:hAnsi="Arial"/>
          <w:color w:val="1B2118"/>
          <w:sz w:val="21"/>
          <w:szCs w:val="21"/>
        </w:rPr>
        <w:t xml:space="preserve"> Dal 22/10/2026 c'è il calcolo «PROVA Banca Dati Utenze - dati casuali (non confermare)» sul Progetto CWP-2026-003, con 20 utenze domestiche e 20 non domestiche inventate (codici PROVA-…): serve a provare il passo 5a e si può eliminare quando non serve più.</w:t>
      </w:r>
    </w:p>
    <w:p>
      <w:pPr>
        <w:spacing w:after="140" w:line="300"/>
      </w:pPr>
      <w:r>
        <w:rPr>
          <w:rFonts w:ascii="Arial" w:cs="Arial" w:eastAsia="Arial" w:hAnsi="Arial"/>
          <w:b/>
          <w:bCs/>
          <w:color w:val="1B2118"/>
          <w:sz w:val="21"/>
          <w:szCs w:val="21"/>
        </w:rPr>
        <w:t xml:space="preserve">Come «Calcola» usa le utenze (dal 23/10/2026).</w:t>
      </w:r>
      <w:r>
        <w:rPr>
          <w:rFonts w:ascii="Arial" w:cs="Arial" w:eastAsia="Arial" w:hAnsi="Arial"/>
          <w:color w:val="1B2118"/>
          <w:sz w:val="21"/>
          <w:szCs w:val="21"/>
        </w:rPr>
        <w:t xml:space="preserve"> Se il calcolo ha utenze nel passo 5a, il motore usa quelle; i conferimenti del passo </w:t>
      </w:r>
      <w:r>
        <w:rPr>
          <w:rFonts w:ascii="Arial" w:cs="Arial" w:eastAsia="Arial" w:hAnsi="Arial"/>
          <w:b/>
          <w:bCs/>
          <w:color w:val="1B2118"/>
          <w:sz w:val="21"/>
          <w:szCs w:val="21"/>
        </w:rPr>
        <w:t xml:space="preserve">5b. Conferimenti (tracciato)</w:t>
      </w:r>
      <w:r>
        <w:rPr>
          <w:rFonts w:ascii="Arial" w:cs="Arial" w:eastAsia="Arial" w:hAnsi="Arial"/>
          <w:color w:val="1B2118"/>
          <w:sz w:val="21"/>
          <w:szCs w:val="21"/>
        </w:rPr>
        <w:t xml:space="preserve"> valgono solo per i calcoli senza utenze (il 5b lo ricorda con un riquadro arancione). I beni a riuso vengono sempre dal passo 5b.</w:t>
      </w:r>
    </w:p>
    <w:p>
      <w:pPr>
        <w:pStyle w:val="ListParagraph"/>
        <w:numPr>
          <w:ilvl w:val="0"/>
          <w:numId w:val="30"/>
        </w:numPr>
        <w:spacing w:after="70" w:line="290"/>
      </w:pPr>
      <w:r>
        <w:rPr>
          <w:rFonts w:ascii="Arial" w:cs="Arial" w:eastAsia="Arial" w:hAnsi="Arial"/>
          <w:color w:val="1B2118"/>
          <w:sz w:val="21"/>
          <w:szCs w:val="21"/>
        </w:rPr>
        <w:t xml:space="preserve">Ogni utenza va nella classe della </w:t>
      </w:r>
      <w:r>
        <w:rPr>
          <w:rFonts w:ascii="Arial" w:cs="Arial" w:eastAsia="Arial" w:hAnsi="Arial"/>
          <w:b/>
          <w:bCs/>
          <w:color w:val="1B2118"/>
          <w:sz w:val="21"/>
          <w:szCs w:val="21"/>
        </w:rPr>
        <w:t xml:space="preserve">delibera</w:t>
      </w:r>
      <w:r>
        <w:rPr>
          <w:rFonts w:ascii="Arial" w:cs="Arial" w:eastAsia="Arial" w:hAnsi="Arial"/>
          <w:color w:val="1B2118"/>
          <w:sz w:val="21"/>
          <w:szCs w:val="21"/>
        </w:rPr>
        <w:t xml:space="preserve"> (passo 3) indicata dalla sua </w:t>
      </w:r>
      <w:r>
        <w:rPr>
          <w:rFonts w:ascii="Arial" w:cs="Arial" w:eastAsia="Arial" w:hAnsi="Arial"/>
          <w:b/>
          <w:bCs/>
          <w:color w:val="1B2118"/>
          <w:sz w:val="21"/>
          <w:szCs w:val="21"/>
        </w:rPr>
        <w:t xml:space="preserve">categoria di simulazione</w:t>
      </w:r>
      <w:r>
        <w:rPr>
          <w:rFonts w:ascii="Arial" w:cs="Arial" w:eastAsia="Arial" w:hAnsi="Arial"/>
          <w:color w:val="1B2118"/>
          <w:sz w:val="21"/>
          <w:szCs w:val="21"/>
        </w:rPr>
        <w:t xml:space="preserve">: da lì prende i rifiuti attesi. Le categorie devono essere scritte come le classi della delibera (es. «2» e non «2 componenti»).</w:t>
      </w:r>
    </w:p>
    <w:p>
      <w:pPr>
        <w:pStyle w:val="ListParagraph"/>
        <w:numPr>
          <w:ilvl w:val="0"/>
          <w:numId w:val="30"/>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kg</w:t>
      </w:r>
      <w:r>
        <w:rPr>
          <w:rFonts w:ascii="Arial" w:cs="Arial" w:eastAsia="Arial" w:hAnsi="Arial"/>
          <w:color w:val="1B2118"/>
          <w:sz w:val="21"/>
          <w:szCs w:val="21"/>
        </w:rPr>
        <w:t xml:space="preserve"> di ogni frazione sono i rifiuti prodotti dall'utenza e si usano così come sono; gli svuotamenti sono solo informativi.</w:t>
      </w:r>
    </w:p>
    <w:p>
      <w:pPr>
        <w:pStyle w:val="ListParagraph"/>
        <w:numPr>
          <w:ilvl w:val="0"/>
          <w:numId w:val="30"/>
        </w:numPr>
        <w:spacing w:after="70" w:line="290"/>
      </w:pPr>
      <w:r>
        <w:rPr>
          <w:rFonts w:ascii="Arial" w:cs="Arial" w:eastAsia="Arial" w:hAnsi="Arial"/>
          <w:color w:val="1B2118"/>
          <w:sz w:val="21"/>
          <w:szCs w:val="21"/>
        </w:rPr>
        <w:t xml:space="preserve">Per ogni utenza contano solo le frazioni con un valore, anche 0. Una frazione lasciata vuota non entra nel calcolo di quell'utenza (né nei rifiuti attesi né in quelli prodotti).</w:t>
      </w:r>
    </w:p>
    <w:p>
      <w:pPr>
        <w:pStyle w:val="ListParagraph"/>
        <w:numPr>
          <w:ilvl w:val="0"/>
          <w:numId w:val="30"/>
        </w:numPr>
        <w:spacing w:after="70" w:line="290"/>
      </w:pPr>
      <w:r>
        <w:rPr>
          <w:rFonts w:ascii="Arial" w:cs="Arial" w:eastAsia="Arial" w:hAnsi="Arial"/>
          <w:color w:val="1B2118"/>
          <w:sz w:val="21"/>
          <w:szCs w:val="21"/>
        </w:rPr>
        <w:t xml:space="preserve">Le utenze </w:t>
      </w:r>
      <w:r>
        <w:rPr>
          <w:rFonts w:ascii="Arial" w:cs="Arial" w:eastAsia="Arial" w:hAnsi="Arial"/>
          <w:b/>
          <w:bCs/>
          <w:color w:val="1B2118"/>
          <w:sz w:val="21"/>
          <w:szCs w:val="21"/>
        </w:rPr>
        <w:t xml:space="preserve">senza categoria di simulazione</w:t>
      </w:r>
      <w:r>
        <w:rPr>
          <w:rFonts w:ascii="Arial" w:cs="Arial" w:eastAsia="Arial" w:hAnsi="Arial"/>
          <w:color w:val="1B2118"/>
          <w:sz w:val="21"/>
          <w:szCs w:val="21"/>
        </w:rPr>
        <w:t xml:space="preserve"> o con una categoria che </w:t>
      </w:r>
      <w:r>
        <w:rPr>
          <w:rFonts w:ascii="Arial" w:cs="Arial" w:eastAsia="Arial" w:hAnsi="Arial"/>
          <w:b/>
          <w:bCs/>
          <w:color w:val="1B2118"/>
          <w:sz w:val="21"/>
          <w:szCs w:val="21"/>
        </w:rPr>
        <w:t xml:space="preserve">non è nella delibera</w:t>
      </w:r>
      <w:r>
        <w:rPr>
          <w:rFonts w:ascii="Arial" w:cs="Arial" w:eastAsia="Arial" w:hAnsi="Arial"/>
          <w:color w:val="1B2118"/>
          <w:sz w:val="21"/>
          <w:szCs w:val="21"/>
        </w:rPr>
        <w:t xml:space="preserve"> restano fuori dal calcolo.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(in fondo al passo 5a e nei Risultati) le segnalano in rosso, i Risultati dicono quante sono state escluse e il calcolo </w:t>
      </w:r>
      <w:r>
        <w:rPr>
          <w:rFonts w:ascii="Arial" w:cs="Arial" w:eastAsia="Arial" w:hAnsi="Arial"/>
          <w:b/>
          <w:bCs/>
          <w:color w:val="1B2118"/>
          <w:sz w:val="21"/>
          <w:szCs w:val="21"/>
        </w:rPr>
        <w:t xml:space="preserve">non si può confermare</w:t>
      </w:r>
      <w:r>
        <w:rPr>
          <w:rFonts w:ascii="Arial" w:cs="Arial" w:eastAsia="Arial" w:hAnsi="Arial"/>
          <w:color w:val="1B2118"/>
          <w:sz w:val="21"/>
          <w:szCs w:val="21"/>
        </w:rPr>
        <w:t xml:space="preserve"> finché non le correggete dal modulo dell'utenza (o non aggiungete la classe nel passo 3).</w:t>
      </w:r>
    </w:p>
    <w:p>
      <w:pPr>
        <w:pStyle w:val="ListParagraph"/>
        <w:numPr>
          <w:ilvl w:val="0"/>
          <w:numId w:val="30"/>
        </w:numPr>
        <w:spacing w:after="70" w:line="290"/>
      </w:pPr>
      <w:r>
        <w:rPr>
          <w:rFonts w:ascii="Arial" w:cs="Arial" w:eastAsia="Arial" w:hAnsi="Arial"/>
          <w:color w:val="1B2118"/>
          <w:sz w:val="21"/>
          <w:szCs w:val="21"/>
        </w:rPr>
        <w:t xml:space="preserve">Se cambiate le utenze dopo «Calcola», il risultato si azzera: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prima di confermare (il database rifiuta la conferma se le utenze non sono quelle usate dal calcolo).</w:t>
      </w:r>
    </w:p>
    <w:p>
      <w:pPr>
        <w:spacing w:after="60"/>
      </w:pPr>
    </w:p>
    <w:p>
      <w:pPr>
        <w:spacing w:after="140" w:line="300"/>
      </w:pPr>
      <w:r>
        <w:rPr>
          <w:rFonts w:ascii="Arial" w:cs="Arial" w:eastAsia="Arial" w:hAnsi="Arial"/>
          <w:color w:val="1B2118"/>
          <w:sz w:val="21"/>
          <w:szCs w:val="21"/>
        </w:rPr>
        <w:t xml:space="preserve">Nei </w:t>
      </w:r>
      <w:r>
        <w:rPr>
          <w:rFonts w:ascii="Arial" w:cs="Arial" w:eastAsia="Arial" w:hAnsi="Arial"/>
          <w:b/>
          <w:bCs/>
          <w:color w:val="1B2118"/>
          <w:sz w:val="21"/>
          <w:szCs w:val="21"/>
        </w:rPr>
        <w:t xml:space="preserve">Risultati</w:t>
      </w:r>
      <w:r>
        <w:rPr>
          <w:rFonts w:ascii="Arial" w:cs="Arial" w:eastAsia="Arial" w:hAnsi="Arial"/>
          <w:color w:val="1B2118"/>
          <w:sz w:val="21"/>
          <w:szCs w:val="21"/>
        </w:rPr>
        <w:t xml:space="preserve"> una riga indica la Banca Dati usata («utenze del passo 5a» o «conferimenti del tracciato»); lo stesso compare nel CSV di riepilogo e nel rapporto PDF. Il dettaglio per utenza contiene solo i codici, non nomi né indirizzi.</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31"/>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3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32"/>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con tutte le frazioni a recupero che hanno quantità e fattore. Nei risultati e nel rapporto PDF compaiono quota, tonnellate e fattore di ogni frazione usata, le tipologie oltre le cinque nominate al capitolo 5 della Metodologia (organico, carta e cartone, vetro, plastica, tessili), con la nota «paniere in attesa di conferma della Fondazione», e quelle escluse perché senza fattore.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b/>
          <w:bCs/>
          <w:color w:val="1B2118"/>
          <w:sz w:val="21"/>
          <w:szCs w:val="21"/>
        </w:rPr>
        <w:t xml:space="preserve">Tutto o niente (dal 20/10/2026, collaudo V01).</w:t>
      </w:r>
      <w:r>
        <w:rPr>
          <w:rFonts w:ascii="Arial" w:cs="Arial" w:eastAsia="Arial" w:hAnsi="Arial"/>
          <w:color w:val="1B2118"/>
          <w:sz w:val="21"/>
          <w:szCs w:val="21"/>
        </w:rPr>
        <w:t xml:space="preserve"> Prima di salvare il portale controlla ogni riga del file. Basta una riga con un errore perché il file </w:t>
      </w:r>
      <w:r>
        <w:rPr>
          <w:rFonts w:ascii="Arial" w:cs="Arial" w:eastAsia="Arial" w:hAnsi="Arial"/>
          <w:b/>
          <w:bCs/>
          <w:color w:val="1B2118"/>
          <w:sz w:val="21"/>
          <w:szCs w:val="21"/>
        </w:rPr>
        <w:t xml:space="preserve">non venga importato</w:t>
      </w:r>
      <w:r>
        <w:rPr>
          <w:rFonts w:ascii="Arial" w:cs="Arial" w:eastAsia="Arial" w:hAnsi="Arial"/>
          <w:color w:val="1B2118"/>
          <w:sz w:val="21"/>
          <w:szCs w:val="21"/>
        </w:rPr>
        <w:t xml:space="preserve"> e la Banca Dati salvata resti quella di prima. Sono errori: un </w:t>
      </w:r>
      <w:r>
        <w:rPr>
          <w:rFonts w:ascii="Arial" w:cs="Arial" w:eastAsia="Arial" w:hAnsi="Arial"/>
          <w:b/>
          <w:bCs/>
          <w:color w:val="1B2118"/>
          <w:sz w:val="21"/>
          <w:szCs w:val="21"/>
        </w:rPr>
        <w:t xml:space="preserve">valore negativo</w:t>
      </w:r>
      <w:r>
        <w:rPr>
          <w:rFonts w:ascii="Arial" w:cs="Arial" w:eastAsia="Arial" w:hAnsi="Arial"/>
          <w:color w:val="1B2118"/>
          <w:sz w:val="21"/>
          <w:szCs w:val="21"/>
        </w:rPr>
        <w:t xml:space="preserve"> (svuotamenti, volumi, pesi, pezzi, N. utenze), un testo al posto di un numero, un dato obbligatorio mancante, una macrocategoria o una tipologia non riconosciute. Il messaggio «File non importato: n righe da correggere» indica le prime righe con il motivo. Zero e celle vuote restano ammessi. Le stesse regole valgono nel salvataggio e nel database (script 35).</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buffer indicato a mano</w:t>
      </w:r>
      <w:r>
        <w:rPr>
          <w:rFonts w:ascii="Arial" w:cs="Arial" w:eastAsia="Arial" w:hAnsi="Arial"/>
          <w:color w:val="1B2118"/>
          <w:sz w:val="21"/>
          <w:szCs w:val="21"/>
        </w:rPr>
        <w:t xml:space="preserve"> deve essere un numero tra 0 e 80%: fuori da questo intervallo il calcolo si blocca con un messaggio (prima il valore veniva tagliato a 80 senza avviso).</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bloccato.</w:t>
      </w:r>
      <w:r>
        <w:rPr>
          <w:rFonts w:ascii="Arial" w:cs="Arial" w:eastAsia="Arial" w:hAnsi="Arial"/>
          <w:color w:val="1B2118"/>
          <w:sz w:val="21"/>
          <w:szCs w:val="21"/>
        </w:rPr>
        <w:t xml:space="preserve"> Con dati impossibili (valori negativi nella Banca Dati, quantità negative dei rifiuti, data di avvio inesistente come 31/02, buffer fuori da 0-80%) compare il riquadro rosso </w:t>
      </w:r>
      <w:r>
        <w:rPr>
          <w:rFonts w:ascii="Arial" w:cs="Arial" w:eastAsia="Arial" w:hAnsi="Arial"/>
          <w:b/>
          <w:bCs/>
          <w:color w:val="1B2118"/>
          <w:sz w:val="21"/>
          <w:szCs w:val="21"/>
        </w:rPr>
        <w:t xml:space="preserve">«Calcolo bloccato: dati non ammessi»</w:t>
      </w:r>
      <w:r>
        <w:rPr>
          <w:rFonts w:ascii="Arial" w:cs="Arial" w:eastAsia="Arial" w:hAnsi="Arial"/>
          <w:color w:val="1B2118"/>
          <w:sz w:val="21"/>
          <w:szCs w:val="21"/>
        </w:rPr>
        <w:t xml:space="preserve"> con l'elenco degli errori. Crediti e debito valgono zero, il risultato non si salva e, se ce n'era uno salvato, viene tolto: il calcolo non si può confermare finché non si correggono i dati e si preme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Nel passo 7 il riquadro </w:t>
      </w: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applica il documento </w:t>
      </w:r>
      <w:r>
        <w:rPr>
          <w:rFonts w:ascii="Arial" w:cs="Arial" w:eastAsia="Arial" w:hAnsi="Arial"/>
          <w:i/>
          <w:iCs/>
          <w:color w:val="1B2118"/>
          <w:sz w:val="21"/>
          <w:szCs w:val="21"/>
        </w:rPr>
        <w:t xml:space="preserve">Gestione della qualità dei dati</w:t>
      </w:r>
      <w:r>
        <w:rPr>
          <w:rFonts w:ascii="Arial" w:cs="Arial" w:eastAsia="Arial" w:hAnsi="Arial"/>
          <w:color w:val="1B2118"/>
          <w:sz w:val="21"/>
          <w:szCs w:val="21"/>
        </w:rPr>
        <w:t xml:space="preserve"> del Programma:</w:t>
      </w:r>
    </w:p>
    <w:p>
      <w:pPr>
        <w:pStyle w:val="ListParagraph"/>
        <w:numPr>
          <w:ilvl w:val="0"/>
          <w:numId w:val="33"/>
        </w:numPr>
        <w:spacing w:after="70" w:line="290"/>
      </w:pPr>
      <w:r>
        <w:rPr>
          <w:rFonts w:ascii="Arial" w:cs="Arial" w:eastAsia="Arial" w:hAnsi="Arial"/>
          <w:color w:val="1B2118"/>
          <w:sz w:val="21"/>
          <w:szCs w:val="21"/>
        </w:rPr>
        <w:t xml:space="preserve">Indicate la </w:t>
      </w:r>
      <w:r>
        <w:rPr>
          <w:rFonts w:ascii="Arial" w:cs="Arial" w:eastAsia="Arial" w:hAnsi="Arial"/>
          <w:b/>
          <w:bCs/>
          <w:color w:val="1B2118"/>
          <w:sz w:val="21"/>
          <w:szCs w:val="21"/>
        </w:rPr>
        <w:t xml:space="preserve">Popolazione residente del territorio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Cluster SOSE (Standard, Tabella 2)</w:t>
      </w:r>
      <w:r>
        <w:rPr>
          <w:rFonts w:ascii="Arial" w:cs="Arial" w:eastAsia="Arial" w:hAnsi="Arial"/>
          <w:color w:val="1B2118"/>
          <w:sz w:val="21"/>
          <w:szCs w:val="21"/>
        </w:rPr>
        <w:t xml:space="preserve">, da 1 a 10 (es. «1. Poli urbani», «5. Comuni turistici montani o litoranei»).</w:t>
      </w:r>
    </w:p>
    <w:p>
      <w:pPr>
        <w:pStyle w:val="ListParagraph"/>
        <w:numPr>
          <w:ilvl w:val="0"/>
          <w:numId w:val="33"/>
        </w:numPr>
        <w:spacing w:after="70" w:line="290"/>
      </w:pPr>
      <w:r>
        <w:rPr>
          <w:rFonts w:ascii="Arial" w:cs="Arial" w:eastAsia="Arial" w:hAnsi="Arial"/>
          <w:color w:val="1B2118"/>
          <w:sz w:val="21"/>
          <w:szCs w:val="21"/>
        </w:rPr>
        <w:t xml:space="preserve">Il portale calcola per ogni tipologia di rifiuto la produzione del territorio in </w:t>
      </w:r>
      <w:r>
        <w:rPr>
          <w:rFonts w:ascii="Arial" w:cs="Arial" w:eastAsia="Arial" w:hAnsi="Arial"/>
          <w:b/>
          <w:bCs/>
          <w:color w:val="1B2118"/>
          <w:sz w:val="21"/>
          <w:szCs w:val="21"/>
        </w:rPr>
        <w:t xml:space="preserve">kg/ab/anno</w:t>
      </w:r>
      <w:r>
        <w:rPr>
          <w:rFonts w:ascii="Arial" w:cs="Arial" w:eastAsia="Arial" w:hAnsi="Arial"/>
          <w:color w:val="1B2118"/>
          <w:sz w:val="21"/>
          <w:szCs w:val="21"/>
        </w:rPr>
        <w:t xml:space="preserve"> e la confronta con il valore medio del cluster nella </w:t>
      </w:r>
      <w:r>
        <w:rPr>
          <w:rFonts w:ascii="Arial" w:cs="Arial" w:eastAsia="Arial" w:hAnsi="Arial"/>
          <w:b/>
          <w:bCs/>
          <w:color w:val="1B2118"/>
          <w:sz w:val="21"/>
          <w:szCs w:val="21"/>
        </w:rPr>
        <w:t xml:space="preserve">Tabella 3</w:t>
      </w:r>
      <w:r>
        <w:rPr>
          <w:rFonts w:ascii="Arial" w:cs="Arial" w:eastAsia="Arial" w:hAnsi="Arial"/>
          <w:color w:val="1B2118"/>
          <w:sz w:val="21"/>
          <w:szCs w:val="21"/>
        </w:rPr>
        <w:t xml:space="preserve"> dello Standard, con lo </w:t>
      </w:r>
      <w:r>
        <w:rPr>
          <w:rFonts w:ascii="Arial" w:cs="Arial" w:eastAsia="Arial" w:hAnsi="Arial"/>
          <w:b/>
          <w:bCs/>
          <w:color w:val="1B2118"/>
          <w:sz w:val="21"/>
          <w:szCs w:val="21"/>
        </w:rPr>
        <w:t xml:space="preserve">scostamento</w:t>
      </w:r>
      <w:r>
        <w:rPr>
          <w:rFonts w:ascii="Arial" w:cs="Arial" w:eastAsia="Arial" w:hAnsi="Arial"/>
          <w:color w:val="1B2118"/>
          <w:sz w:val="21"/>
          <w:szCs w:val="21"/>
        </w:rPr>
        <w:t xml:space="preserve"> in percentuale. Le righe oltre </w:t>
      </w:r>
      <w:r>
        <w:rPr>
          <w:rFonts w:ascii="Arial" w:cs="Arial" w:eastAsia="Arial" w:hAnsi="Arial"/>
          <w:b/>
          <w:bCs/>
          <w:color w:val="1B2118"/>
          <w:sz w:val="21"/>
          <w:szCs w:val="21"/>
        </w:rPr>
        <w:t xml:space="preserve">±30%</w:t>
      </w:r>
      <w:r>
        <w:rPr>
          <w:rFonts w:ascii="Arial" w:cs="Arial" w:eastAsia="Arial" w:hAnsi="Arial"/>
          <w:color w:val="1B2118"/>
          <w:sz w:val="21"/>
          <w:szCs w:val="21"/>
        </w:rPr>
        <w:t xml:space="preserve"> sono in rosso.</w:t>
      </w:r>
    </w:p>
    <w:p>
      <w:pPr>
        <w:pStyle w:val="ListParagraph"/>
        <w:numPr>
          <w:ilvl w:val="0"/>
          <w:numId w:val="33"/>
        </w:numPr>
        <w:spacing w:after="70" w:line="290"/>
      </w:pPr>
      <w:r>
        <w:rPr>
          <w:rFonts w:ascii="Arial" w:cs="Arial" w:eastAsia="Arial" w:hAnsi="Arial"/>
          <w:color w:val="1B2118"/>
          <w:sz w:val="21"/>
          <w:szCs w:val="21"/>
        </w:rPr>
        <w:t xml:space="preserve">Se c'è almeno uno scostamento oltre il 30%, compilate la </w:t>
      </w:r>
      <w:r>
        <w:rPr>
          <w:rFonts w:ascii="Arial" w:cs="Arial" w:eastAsia="Arial" w:hAnsi="Arial"/>
          <w:b/>
          <w:bCs/>
          <w:color w:val="1B2118"/>
          <w:sz w:val="21"/>
          <w:szCs w:val="21"/>
        </w:rPr>
        <w:t xml:space="preserve">Motivazione degli scostamenti oltre il 30% (obbligatoria per confermare)</w:t>
      </w:r>
      <w:r>
        <w:rPr>
          <w:rFonts w:ascii="Arial" w:cs="Arial" w:eastAsia="Arial" w:hAnsi="Arial"/>
          <w:color w:val="1B2118"/>
          <w:sz w:val="21"/>
          <w:szCs w:val="21"/>
        </w:rPr>
        <w:t xml:space="preserve">: senza motivazione il pulsante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resta disattivato.</w:t>
      </w:r>
    </w:p>
    <w:p>
      <w:pPr>
        <w:spacing w:after="60"/>
      </w:pPr>
    </w:p>
    <w:p>
      <w:pPr>
        <w:spacing w:after="140" w:line="300"/>
      </w:pPr>
      <w:r>
        <w:rPr>
          <w:rFonts w:ascii="Arial" w:cs="Arial" w:eastAsia="Arial" w:hAnsi="Arial"/>
          <w:color w:val="1B2118"/>
          <w:sz w:val="21"/>
          <w:szCs w:val="21"/>
        </w:rPr>
        <w:t xml:space="preserve">Sotto il confronto compaiono gli indicatori, con ✓ (in regola), ! (da verificare) o – (non disponibile):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6609"/>
      </w:tblGrid>
      <w:tr>
        <w:trPr>
          <w:tblHeader/>
        </w:trPr>
        <w:tc>
          <w:tcPr>
            <w:tcW w:type="dxa" w:w="30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Indicatore</w:t>
            </w:r>
          </w:p>
        </w:tc>
        <w:tc>
          <w:tcPr>
            <w:tcW w:type="dxa" w:w="6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controlla</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Completezza</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della Banca Dati rispetto alle utenze della delibera: in regola da 90%</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con la stessa utenza e la stessa tipologia ripetute (si sommano: verificare che non siano duplicati)</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valide sulle letture importate</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Almeno il 70% (Metodologia 8.1); il 50% è ammesso solo con penali al gestore. Non disponibile se si importano i totali annui (foglio 5): chiedete al gestore la percentuale di letture a buon fine</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Tempestività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Anno dei dati del tracciato uguale all'anno del calcolo</w:t>
            </w:r>
          </w:p>
        </w:tc>
      </w:tr>
    </w:tbl>
    <w:p>
      <w:pPr>
        <w:spacing w:after="160"/>
      </w:pPr>
    </w:p>
    <w:p>
      <w:pPr>
        <w:spacing w:after="140" w:line="300"/>
      </w:pPr>
      <w:r>
        <w:rPr>
          <w:rFonts w:ascii="Arial" w:cs="Arial" w:eastAsia="Arial" w:hAnsi="Arial"/>
          <w:color w:val="1B2118"/>
          <w:sz w:val="21"/>
          <w:szCs w:val="21"/>
        </w:rPr>
        <w:t xml:space="preserve">Popolazione, cluster e motivazione si salvano nei dati del calcolo: se li cambiate 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risultato si azzera e va ricalcolato.</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Nella sezione 6, insieme ad avvisi e controlli di coerenza, il rapporto riporta anche gli </w:t>
      </w:r>
      <w:r>
        <w:rPr>
          <w:rFonts w:ascii="Arial" w:cs="Arial" w:eastAsia="Arial" w:hAnsi="Arial"/>
          <w:b/>
          <w:bCs/>
          <w:color w:val="1B2118"/>
          <w:sz w:val="21"/>
          <w:szCs w:val="21"/>
        </w:rPr>
        <w:t xml:space="preserve">indicatori di qualità dei dati</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confronto con la Tabella 3</w:t>
      </w:r>
      <w:r>
        <w:rPr>
          <w:rFonts w:ascii="Arial" w:cs="Arial" w:eastAsia="Arial" w:hAnsi="Arial"/>
          <w:color w:val="1B2118"/>
          <w:sz w:val="21"/>
          <w:szCs w:val="21"/>
        </w:rPr>
        <w:t xml:space="preserve"> (cluster, popolazione, soglia ±30%) e la </w:t>
      </w:r>
      <w:r>
        <w:rPr>
          <w:rFonts w:ascii="Arial" w:cs="Arial" w:eastAsia="Arial" w:hAnsi="Arial"/>
          <w:b/>
          <w:bCs/>
          <w:color w:val="1B2118"/>
          <w:sz w:val="21"/>
          <w:szCs w:val="21"/>
        </w:rPr>
        <w:t xml:space="preserve">motivazione degli scostamenti</w:t>
      </w:r>
      <w:r>
        <w:rPr>
          <w:rFonts w:ascii="Arial" w:cs="Arial" w:eastAsia="Arial" w:hAnsi="Arial"/>
          <w:color w:val="1B2118"/>
          <w:sz w:val="21"/>
          <w:szCs w:val="21"/>
        </w:rPr>
        <w:t xml:space="preserv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 il riquadro </w:t>
      </w:r>
      <w:r>
        <w:rPr>
          <w:rFonts w:ascii="Arial" w:cs="Arial" w:eastAsia="Arial" w:hAnsi="Arial"/>
          <w:i/>
          <w:iCs/>
          <w:color w:val="1B2118"/>
          <w:sz w:val="21"/>
          <w:szCs w:val="21"/>
        </w:rPr>
        <w:t xml:space="preserve">Qualità dei dati</w:t>
      </w:r>
      <w:r>
        <w:rPr>
          <w:rFonts w:ascii="Arial" w:cs="Arial" w:eastAsia="Arial" w:hAnsi="Arial"/>
          <w:color w:val="1B2118"/>
          <w:sz w:val="21"/>
          <w:szCs w:val="21"/>
        </w:rPr>
        <w:t xml:space="preserve"> sia compilato e gli scostamenti oltre il 30% siano motivati.</w:t>
      </w:r>
    </w:p>
    <w:p>
      <w:pPr>
        <w:pStyle w:val="ListParagraph"/>
        <w:numPr>
          <w:ilvl w:val="0"/>
          <w:numId w:val="34"/>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Il pulsante è attivo solo se gli scostamenti oltre il 30% sono motivati </w:t>
      </w:r>
      <w:r>
        <w:rPr>
          <w:rFonts w:ascii="Arial" w:cs="Arial" w:eastAsia="Arial" w:hAnsi="Arial"/>
          <w:b/>
          <w:bCs/>
          <w:color w:val="1B2118"/>
          <w:sz w:val="21"/>
          <w:szCs w:val="21"/>
        </w:rPr>
        <w:t xml:space="preserve">e</w:t>
      </w:r>
      <w:r>
        <w:rPr>
          <w:rFonts w:ascii="Arial" w:cs="Arial" w:eastAsia="Arial" w:hAnsi="Arial"/>
          <w:color w:val="1B2118"/>
          <w:sz w:val="21"/>
          <w:szCs w:val="21"/>
        </w:rPr>
        <w:t xml:space="preserve"> se i controlli di coerenza non segnalano errori (per esempio Banca Dati Utenze mancante, PEF che non fa 100%, classi assenti nella delibera, valori negativi): gli errori sono elencati nel riquadro. Gli avvisi («Da verificare») non bloccano. Il database rifiuta comunque la conferma di un calcolo senza Banca Dati Utenze o con un risultato bloccato (script 35). Questa regola è stata introdotta dopo il collaudo V01 (riserva R05) ed è da confermare con la Fondazione.</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spacing w:after="140" w:line="300"/>
      </w:pPr>
      <w:r>
        <w:rPr>
          <w:rFonts w:ascii="Arial" w:cs="Arial" w:eastAsia="Arial" w:hAnsi="Arial"/>
          <w:b/>
          <w:bCs/>
          <w:color w:val="1B2118"/>
          <w:sz w:val="21"/>
          <w:szCs w:val="21"/>
        </w:rPr>
        <w:t xml:space="preserve">Attenzione: è un elenco interno della Fondazione.</w:t>
      </w:r>
      <w:r>
        <w:rPr>
          <w:rFonts w:ascii="Arial" w:cs="Arial" w:eastAsia="Arial" w:hAnsi="Arial"/>
          <w:color w:val="1B2118"/>
          <w:sz w:val="21"/>
          <w:szCs w:val="21"/>
        </w:rPr>
        <w:t xml:space="preserve"> Il «Registro dei crediti» del portale raccoglie solo i </w:t>
      </w:r>
      <w:r>
        <w:rPr>
          <w:rFonts w:ascii="Arial" w:cs="Arial" w:eastAsia="Arial" w:hAnsi="Arial"/>
          <w:b/>
          <w:bCs/>
          <w:color w:val="1B2118"/>
          <w:sz w:val="21"/>
          <w:szCs w:val="21"/>
        </w:rPr>
        <w:t xml:space="preserve">calcoli</w:t>
      </w:r>
      <w:r>
        <w:rPr>
          <w:rFonts w:ascii="Arial" w:cs="Arial" w:eastAsia="Arial" w:hAnsi="Arial"/>
          <w:color w:val="1B2118"/>
          <w:sz w:val="21"/>
          <w:szCs w:val="21"/>
        </w:rPr>
        <w:t xml:space="preserve"> confermati con il loro numero di registro (</w:t>
      </w:r>
      <w:r>
        <w:rPr>
          <w:rFonts w:ascii="Consolas" w:cs="Consolas" w:eastAsia="Consolas" w:hAnsi="Consolas"/>
          <w:color w:val="2F5D3A"/>
          <w:sz w:val="21"/>
          <w:szCs w:val="21"/>
        </w:rPr>
        <w:t xml:space="preserve">CWP-REG-…</w:t>
      </w:r>
      <w:r>
        <w:rPr>
          <w:rFonts w:ascii="Arial" w:cs="Arial" w:eastAsia="Arial" w:hAnsi="Arial"/>
          <w:color w:val="1B2118"/>
          <w:sz w:val="21"/>
          <w:szCs w:val="21"/>
        </w:rPr>
        <w:t xml:space="preserve">). Non è il </w:t>
      </w:r>
      <w:r>
        <w:rPr>
          <w:rFonts w:ascii="Arial" w:cs="Arial" w:eastAsia="Arial" w:hAnsi="Arial"/>
          <w:b/>
          <w:bCs/>
          <w:color w:val="1B2118"/>
          <w:sz w:val="21"/>
          <w:szCs w:val="21"/>
        </w:rPr>
        <w:t xml:space="preserve">registro di scambio</w:t>
      </w:r>
      <w:r>
        <w:rPr>
          <w:rFonts w:ascii="Arial" w:cs="Arial" w:eastAsia="Arial" w:hAnsi="Arial"/>
          <w:color w:val="1B2118"/>
          <w:sz w:val="21"/>
          <w:szCs w:val="21"/>
        </w:rPr>
        <w:t xml:space="preserve"> esterno su cui i crediti vengono caricati e venduti (capitolo «Anagrafiche → Registri»), e non emette crediti: i crediti con ID univoco si emettono nel Rapporto (capitolo «Crediti emessi»).</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Simulatore di scenari</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(menu </w:t>
      </w:r>
      <w:r>
        <w:rPr>
          <w:rFonts w:ascii="Arial" w:cs="Arial" w:eastAsia="Arial" w:hAnsi="Arial"/>
          <w:i/>
          <w:iCs/>
          <w:color w:val="1B2118"/>
          <w:sz w:val="21"/>
          <w:szCs w:val="21"/>
        </w:rPr>
        <w:t xml:space="preserve">Simulatore</w:t>
      </w:r>
      <w:r>
        <w:rPr>
          <w:rFonts w:ascii="Arial" w:cs="Arial" w:eastAsia="Arial" w:hAnsi="Arial"/>
          <w:color w:val="1B2118"/>
          <w:sz w:val="21"/>
          <w:szCs w:val="21"/>
        </w:rPr>
        <w:t xml:space="preserve">, per Operatori e Amministratori) stima in anticipo quanti crediti un Comune potrebbe generare in </w:t>
      </w:r>
      <w:r>
        <w:rPr>
          <w:rFonts w:ascii="Arial" w:cs="Arial" w:eastAsia="Arial" w:hAnsi="Arial"/>
          <w:b/>
          <w:bCs/>
          <w:color w:val="1B2118"/>
          <w:sz w:val="21"/>
          <w:szCs w:val="21"/>
        </w:rPr>
        <w:t xml:space="preserve">7, 10 o 21 anni</w:t>
      </w:r>
      <w:r>
        <w:rPr>
          <w:rFonts w:ascii="Arial" w:cs="Arial" w:eastAsia="Arial" w:hAnsi="Arial"/>
          <w:color w:val="1B2118"/>
          <w:sz w:val="21"/>
          <w:szCs w:val="21"/>
        </w:rPr>
        <w:t xml:space="preserve">. Serve per presentare il Programma a un Comune o per confrontare obiettivi diversi. È una </w:t>
      </w:r>
      <w:r>
        <w:rPr>
          <w:rFonts w:ascii="Arial" w:cs="Arial" w:eastAsia="Arial" w:hAnsi="Arial"/>
          <w:b/>
          <w:bCs/>
          <w:color w:val="1B2118"/>
          <w:sz w:val="21"/>
          <w:szCs w:val="21"/>
        </w:rPr>
        <w:t xml:space="preserve">stima ex ante, non certificabile</w:t>
      </w:r>
      <w:r>
        <w:rPr>
          <w:rFonts w:ascii="Arial" w:cs="Arial" w:eastAsia="Arial" w:hAnsi="Arial"/>
          <w:color w:val="1B2118"/>
          <w:sz w:val="21"/>
          <w:szCs w:val="21"/>
        </w:rPr>
        <w:t xml:space="preserve">: i crediti veri si calcolano a consuntivo, con il calcolo dei crediti e la Banca Dati Utenze.</w:t>
      </w:r>
    </w:p>
    <w:p>
      <w:pPr>
        <w:spacing w:after="140" w:line="300"/>
      </w:pPr>
      <w:r>
        <w:rPr>
          <w:rFonts w:ascii="Arial" w:cs="Arial" w:eastAsia="Arial" w:hAnsi="Arial"/>
          <w:b/>
          <w:bCs/>
          <w:color w:val="1B2118"/>
          <w:sz w:val="21"/>
          <w:szCs w:val="21"/>
        </w:rPr>
        <w:t xml:space="preserve">Creare uno scenario</w:t>
      </w:r>
    </w:p>
    <w:p>
      <w:pPr>
        <w:pStyle w:val="ListParagraph"/>
        <w:numPr>
          <w:ilvl w:val="0"/>
          <w:numId w:val="35"/>
        </w:numPr>
        <w:spacing w:after="70" w:line="29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Nuovo scenario</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Scegliete il Comune tra quelli censiti oppure scrivetene il nome (si possono simulare anche Comuni non ancora aderenti).</w:t>
      </w:r>
    </w:p>
    <w:p>
      <w:pPr>
        <w:pStyle w:val="ListParagraph"/>
        <w:numPr>
          <w:ilvl w:val="0"/>
          <w:numId w:val="35"/>
        </w:numPr>
        <w:spacing w:after="70" w:line="290"/>
      </w:pPr>
      <w:r>
        <w:rPr>
          <w:rFonts w:ascii="Arial" w:cs="Arial" w:eastAsia="Arial" w:hAnsi="Arial"/>
          <w:color w:val="1B2118"/>
          <w:sz w:val="21"/>
          <w:szCs w:val="21"/>
        </w:rPr>
        <w:t xml:space="preserve">Date un nome allo scenario (per esempio «prudente», «obiettivo», «ambizioso»), scegliete la </w:t>
      </w:r>
      <w:r>
        <w:rPr>
          <w:rFonts w:ascii="Arial" w:cs="Arial" w:eastAsia="Arial" w:hAnsi="Arial"/>
          <w:b/>
          <w:bCs/>
          <w:color w:val="1B2118"/>
          <w:sz w:val="21"/>
          <w:szCs w:val="21"/>
        </w:rPr>
        <w:t xml:space="preserve">durata</w:t>
      </w:r>
      <w:r>
        <w:rPr>
          <w:rFonts w:ascii="Arial" w:cs="Arial" w:eastAsia="Arial" w:hAnsi="Arial"/>
          <w:color w:val="1B2118"/>
          <w:sz w:val="21"/>
          <w:szCs w:val="21"/>
        </w:rPr>
        <w:t xml:space="preserve"> dal menu a tendina (7, 10 o 21 anni) e il primo anno → </w:t>
      </w:r>
      <w:r>
        <w:rPr>
          <w:rFonts w:ascii="Arial" w:cs="Arial" w:eastAsia="Arial" w:hAnsi="Arial"/>
          <w:b/>
          <w:bCs/>
          <w:color w:val="1B2118"/>
          <w:sz w:val="21"/>
          <w:szCs w:val="21"/>
        </w:rPr>
        <w:t xml:space="preserve">Crea scenario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ogni Comune si possono creare più scenari; con </w:t>
      </w:r>
      <w:r>
        <w:rPr>
          <w:rFonts w:ascii="Arial" w:cs="Arial" w:eastAsia="Arial" w:hAnsi="Arial"/>
          <w:b/>
          <w:bCs/>
          <w:color w:val="1B2118"/>
          <w:sz w:val="21"/>
          <w:szCs w:val="21"/>
        </w:rPr>
        <w:t xml:space="preserve">Duplica</w:t>
      </w:r>
      <w:r>
        <w:rPr>
          <w:rFonts w:ascii="Arial" w:cs="Arial" w:eastAsia="Arial" w:hAnsi="Arial"/>
          <w:color w:val="1B2118"/>
          <w:sz w:val="21"/>
          <w:szCs w:val="21"/>
        </w:rPr>
        <w:t xml:space="preserve"> si parte da uno esistente e si cambia solo qualche obiettivo.</w:t>
      </w:r>
    </w:p>
    <w:p>
      <w:pPr>
        <w:spacing w:after="140" w:line="300"/>
      </w:pPr>
      <w:r>
        <w:rPr>
          <w:rFonts w:ascii="Arial" w:cs="Arial" w:eastAsia="Arial" w:hAnsi="Arial"/>
          <w:b/>
          <w:bCs/>
          <w:color w:val="1B2118"/>
          <w:sz w:val="21"/>
          <w:szCs w:val="21"/>
        </w:rPr>
        <w:t xml:space="preserve">Dati non ammessi (dal 20/10/2026, collaudo V01).</w:t>
      </w:r>
      <w:r>
        <w:rPr>
          <w:rFonts w:ascii="Arial" w:cs="Arial" w:eastAsia="Arial" w:hAnsi="Arial"/>
          <w:color w:val="1B2118"/>
          <w:sz w:val="21"/>
          <w:szCs w:val="21"/>
        </w:rPr>
        <w:t xml:space="preserve"> Il simulatore non dà risultati e non salva lo scenario se un dato è fisicamente impossibile. Sono errori:</w:t>
      </w:r>
    </w:p>
    <w:p>
      <w:pPr>
        <w:pStyle w:val="ListParagraph"/>
        <w:numPr>
          <w:ilvl w:val="0"/>
          <w:numId w:val="2"/>
        </w:numPr>
        <w:spacing w:after="70" w:line="290"/>
      </w:pPr>
      <w:r>
        <w:rPr>
          <w:rFonts w:ascii="Arial" w:cs="Arial" w:eastAsia="Arial" w:hAnsi="Arial"/>
          <w:color w:val="1B2118"/>
          <w:sz w:val="21"/>
          <w:szCs w:val="21"/>
        </w:rPr>
        <w:t xml:space="preserve">popolazione o produzione totale negative o zero;</w:t>
      </w:r>
    </w:p>
    <w:p>
      <w:pPr>
        <w:pStyle w:val="ListParagraph"/>
        <w:numPr>
          <w:ilvl w:val="0"/>
          <w:numId w:val="2"/>
        </w:numPr>
        <w:spacing w:after="70" w:line="290"/>
      </w:pPr>
      <w:r>
        <w:rPr>
          <w:rFonts w:ascii="Arial" w:cs="Arial" w:eastAsia="Arial" w:hAnsi="Arial"/>
          <w:color w:val="1B2118"/>
          <w:sz w:val="21"/>
          <w:szCs w:val="21"/>
        </w:rPr>
        <w:t xml:space="preserve">secco negativo, oppure secco maggiore della produzione (differenziata oltre il 100%);</w:t>
      </w:r>
    </w:p>
    <w:p>
      <w:pPr>
        <w:pStyle w:val="ListParagraph"/>
        <w:numPr>
          <w:ilvl w:val="0"/>
          <w:numId w:val="2"/>
        </w:numPr>
        <w:spacing w:after="70" w:line="290"/>
      </w:pPr>
      <w:r>
        <w:rPr>
          <w:rFonts w:ascii="Arial" w:cs="Arial" w:eastAsia="Arial" w:hAnsi="Arial"/>
          <w:color w:val="1B2118"/>
          <w:sz w:val="21"/>
          <w:szCs w:val="21"/>
        </w:rPr>
        <w:t xml:space="preserve">rifiuti di riferimento negativi;</w:t>
      </w:r>
    </w:p>
    <w:p>
      <w:pPr>
        <w:pStyle w:val="ListParagraph"/>
        <w:numPr>
          <w:ilvl w:val="0"/>
          <w:numId w:val="2"/>
        </w:numPr>
        <w:spacing w:after="70" w:line="290"/>
      </w:pPr>
      <w:r>
        <w:rPr>
          <w:rFonts w:ascii="Arial" w:cs="Arial" w:eastAsia="Arial" w:hAnsi="Arial"/>
          <w:color w:val="1B2118"/>
          <w:sz w:val="21"/>
          <w:szCs w:val="21"/>
        </w:rPr>
        <w:t xml:space="preserve">buffer fuori da 0-80%, oppure campo del buffer vuoto;</w:t>
      </w:r>
    </w:p>
    <w:p>
      <w:pPr>
        <w:pStyle w:val="ListParagraph"/>
        <w:numPr>
          <w:ilvl w:val="0"/>
          <w:numId w:val="2"/>
        </w:numPr>
        <w:spacing w:after="70" w:line="290"/>
      </w:pPr>
      <w:r>
        <w:rPr>
          <w:rFonts w:ascii="Arial" w:cs="Arial" w:eastAsia="Arial" w:hAnsi="Arial"/>
          <w:color w:val="1B2118"/>
          <w:sz w:val="21"/>
          <w:szCs w:val="21"/>
        </w:rPr>
        <w:t xml:space="preserve">valori del credito o costi negativi o non numerici;</w:t>
      </w:r>
    </w:p>
    <w:p>
      <w:pPr>
        <w:pStyle w:val="ListParagraph"/>
        <w:numPr>
          <w:ilvl w:val="0"/>
          <w:numId w:val="2"/>
        </w:numPr>
        <w:spacing w:after="70" w:line="290"/>
      </w:pPr>
      <w:r>
        <w:rPr>
          <w:rFonts w:ascii="Arial" w:cs="Arial" w:eastAsia="Arial" w:hAnsi="Arial"/>
          <w:color w:val="1B2118"/>
          <w:sz w:val="21"/>
          <w:szCs w:val="21"/>
        </w:rPr>
        <w:t xml:space="preserve">valore minimo del credito più alto del massimo.</w:t>
      </w:r>
    </w:p>
    <w:p>
      <w:pPr>
        <w:spacing w:after="140" w:line="300"/>
      </w:pPr>
      <w:r>
        <w:rPr>
          <w:rFonts w:ascii="Arial" w:cs="Arial" w:eastAsia="Arial" w:hAnsi="Arial"/>
          <w:color w:val="1B2118"/>
          <w:sz w:val="21"/>
          <w:szCs w:val="21"/>
        </w:rPr>
        <w:t xml:space="preserve">In questi casi il riquadro rosso nei Risultati elenca gli errori e accanto a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che resta disattivato, compare «Da correggere prima di salvare: n». Un campo lasciato </w:t>
      </w:r>
      <w:r>
        <w:rPr>
          <w:rFonts w:ascii="Arial" w:cs="Arial" w:eastAsia="Arial" w:hAnsi="Arial"/>
          <w:b/>
          <w:bCs/>
          <w:color w:val="1B2118"/>
          <w:sz w:val="21"/>
          <w:szCs w:val="21"/>
        </w:rPr>
        <w:t xml:space="preserve">vuoto</w:t>
      </w:r>
      <w:r>
        <w:rPr>
          <w:rFonts w:ascii="Arial" w:cs="Arial" w:eastAsia="Arial" w:hAnsi="Arial"/>
          <w:color w:val="1B2118"/>
          <w:sz w:val="21"/>
          <w:szCs w:val="21"/>
        </w:rPr>
        <w:t xml:space="preserve"> vuol dire «non indicato» (per esempio l'anno prende il punto di partenza). Lo </w:t>
      </w:r>
      <w:r>
        <w:rPr>
          <w:rFonts w:ascii="Arial" w:cs="Arial" w:eastAsia="Arial" w:hAnsi="Arial"/>
          <w:b/>
          <w:bCs/>
          <w:color w:val="1B2118"/>
          <w:sz w:val="21"/>
          <w:szCs w:val="21"/>
        </w:rPr>
        <w:t xml:space="preserve">zero</w:t>
      </w:r>
      <w:r>
        <w:rPr>
          <w:rFonts w:ascii="Arial" w:cs="Arial" w:eastAsia="Arial" w:hAnsi="Arial"/>
          <w:color w:val="1B2118"/>
          <w:sz w:val="21"/>
          <w:szCs w:val="21"/>
        </w:rPr>
        <w:t xml:space="preserve"> invece è un valore vero: un valore del credito 0 in un anno dà ricavi 0 in quell'anno, e un valore minimo 0 dà lo scenario peggiore con ricavi 0. Il database ripete gli stessi controlli (script 35).</w:t>
      </w:r>
    </w:p>
    <w:p>
      <w:pPr>
        <w:spacing w:after="140" w:line="300"/>
      </w:pPr>
      <w:r>
        <w:rPr>
          <w:rFonts w:ascii="Arial" w:cs="Arial" w:eastAsia="Arial" w:hAnsi="Arial"/>
          <w:b/>
          <w:bCs/>
          <w:color w:val="1B2118"/>
          <w:sz w:val="21"/>
          <w:szCs w:val="21"/>
        </w:rPr>
        <w:t xml:space="preserve">1. Impostazioni.</w:t>
      </w:r>
      <w:r>
        <w:rPr>
          <w:rFonts w:ascii="Arial" w:cs="Arial" w:eastAsia="Arial" w:hAnsi="Arial"/>
          <w:color w:val="1B2118"/>
          <w:sz w:val="21"/>
          <w:szCs w:val="21"/>
        </w:rPr>
        <w:t xml:space="preserve"> Nome, durata (menu a tendina 7 / 10 / 21 anni, Standard 4.3.8), primo anno, </w:t>
      </w:r>
      <w:r>
        <w:rPr>
          <w:rFonts w:ascii="Arial" w:cs="Arial" w:eastAsia="Arial" w:hAnsi="Arial"/>
          <w:b/>
          <w:bCs/>
          <w:color w:val="1B2118"/>
          <w:sz w:val="21"/>
          <w:szCs w:val="21"/>
        </w:rPr>
        <w:t xml:space="preserve">metodo di stima dei crediti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buffer previsto</w:t>
      </w:r>
      <w:r>
        <w:rPr>
          <w:rFonts w:ascii="Arial" w:cs="Arial" w:eastAsia="Arial" w:hAnsi="Arial"/>
          <w:color w:val="1B2118"/>
          <w:sz w:val="21"/>
          <w:szCs w:val="21"/>
        </w:rPr>
        <w:t xml:space="preserve"> (quota trattenuta dai crediti lordi, Capitolo 7 della Metodologia) e note sulle ipotesi.</w:t>
      </w:r>
    </w:p>
    <w:p>
      <w:pPr>
        <w:spacing w:after="140" w:line="300"/>
      </w:pPr>
      <w:r>
        <w:rPr>
          <w:rFonts w:ascii="Arial" w:cs="Arial" w:eastAsia="Arial" w:hAnsi="Arial"/>
          <w:b/>
          <w:bCs/>
          <w:color w:val="1B2118"/>
          <w:sz w:val="21"/>
          <w:szCs w:val="21"/>
        </w:rPr>
        <w:t xml:space="preserve">Metodo di stima.</w:t>
      </w:r>
      <w:r>
        <w:rPr>
          <w:rFonts w:ascii="Arial" w:cs="Arial" w:eastAsia="Arial" w:hAnsi="Arial"/>
          <w:color w:val="1B2118"/>
          <w:sz w:val="21"/>
          <w:szCs w:val="21"/>
        </w:rPr>
        <w:t xml:space="preserve"> Si sceglie tra due metodi, entrambi previsti dalla formula 32 della Metodologia:</w:t>
      </w:r>
    </w:p>
    <w:p>
      <w:pPr>
        <w:pStyle w:val="ListParagraph"/>
        <w:numPr>
          <w:ilvl w:val="0"/>
          <w:numId w:val="2"/>
        </w:numPr>
        <w:spacing w:after="70" w:line="290"/>
      </w:pPr>
      <w:r>
        <w:rPr>
          <w:rFonts w:ascii="Arial" w:cs="Arial" w:eastAsia="Arial" w:hAnsi="Arial"/>
          <w:b/>
          <w:bCs/>
          <w:color w:val="1B2118"/>
          <w:sz w:val="21"/>
          <w:szCs w:val="21"/>
        </w:rPr>
        <w:t xml:space="preserve">Bilancio del Comune (tutte le utenze insieme).</w:t>
      </w:r>
      <w:r>
        <w:rPr>
          <w:rFonts w:ascii="Arial" w:cs="Arial" w:eastAsia="Arial" w:hAnsi="Arial"/>
          <w:color w:val="1B2118"/>
          <w:sz w:val="21"/>
          <w:szCs w:val="21"/>
        </w:rPr>
        <w:t xml:space="preserve"> Confronta i totali del Comune con lo scenario di riferimento: le utenze che peggiorano compensano quelle che migliorano, quindi i crediti nascono solo dai rifiuti evitati in totale. È la stima più prudente.</w:t>
      </w:r>
    </w:p>
    <w:p>
      <w:pPr>
        <w:pStyle w:val="ListParagraph"/>
        <w:numPr>
          <w:ilvl w:val="0"/>
          <w:numId w:val="2"/>
        </w:numPr>
        <w:spacing w:after="70" w:line="290"/>
      </w:pPr>
      <w:r>
        <w:rPr>
          <w:rFonts w:ascii="Arial" w:cs="Arial" w:eastAsia="Arial" w:hAnsi="Arial"/>
          <w:b/>
          <w:bCs/>
          <w:color w:val="1B2118"/>
          <w:sz w:val="21"/>
          <w:szCs w:val="21"/>
        </w:rPr>
        <w:t xml:space="preserve">Per utenza: solo utenze virtuose (con buffer).</w:t>
      </w:r>
      <w:r>
        <w:rPr>
          <w:rFonts w:ascii="Arial" w:cs="Arial" w:eastAsia="Arial" w:hAnsi="Arial"/>
          <w:color w:val="1B2118"/>
          <w:sz w:val="21"/>
          <w:szCs w:val="21"/>
        </w:rPr>
        <w:t xml:space="preserve"> Contano solo le utenze che producono meno del valore atteso, per i rifiuti misurati per utenza (ad esempio secco e organico con la tariffa puntuale); i debiti delle altre li copre il buffer. È il metodo delle stime dell'Allegato A dei contratti tipo EsaCom. Senza Banca Dati Utenze la differenza tra le utenze si rappresenta con la </w:t>
      </w:r>
      <w:r>
        <w:rPr>
          <w:rFonts w:ascii="Arial" w:cs="Arial" w:eastAsia="Arial" w:hAnsi="Arial"/>
          <w:b/>
          <w:bCs/>
          <w:color w:val="1B2118"/>
          <w:sz w:val="21"/>
          <w:szCs w:val="21"/>
        </w:rPr>
        <w:t xml:space="preserve">variabilità tra utenze</w:t>
      </w:r>
      <w:r>
        <w:rPr>
          <w:rFonts w:ascii="Arial" w:cs="Arial" w:eastAsia="Arial" w:hAnsi="Arial"/>
          <w:color w:val="1B2118"/>
          <w:sz w:val="21"/>
          <w:szCs w:val="21"/>
        </w:rPr>
        <w:t xml:space="preserve"> (proposta 30%): è un'ipotesi, da tarare sui dati reali del gestore.</w:t>
      </w:r>
    </w:p>
    <w:p>
      <w:pPr>
        <w:spacing w:after="140" w:line="300"/>
      </w:pPr>
      <w:r>
        <w:rPr>
          <w:rFonts w:ascii="Arial" w:cs="Arial" w:eastAsia="Arial" w:hAnsi="Arial"/>
          <w:color w:val="1B2118"/>
          <w:sz w:val="21"/>
          <w:szCs w:val="21"/>
        </w:rPr>
        <w:t xml:space="preserve">Nel riquadro sotto si indicano i </w:t>
      </w:r>
      <w:r>
        <w:rPr>
          <w:rFonts w:ascii="Arial" w:cs="Arial" w:eastAsia="Arial" w:hAnsi="Arial"/>
          <w:b/>
          <w:bCs/>
          <w:color w:val="1B2118"/>
          <w:sz w:val="21"/>
          <w:szCs w:val="21"/>
        </w:rPr>
        <w:t xml:space="preserve">rifiuti misurati per utenza</w:t>
      </w:r>
      <w:r>
        <w:rPr>
          <w:rFonts w:ascii="Arial" w:cs="Arial" w:eastAsia="Arial" w:hAnsi="Arial"/>
          <w:color w:val="1B2118"/>
          <w:sz w:val="21"/>
          <w:szCs w:val="21"/>
        </w:rPr>
        <w:t xml:space="preserve"> (Tabella 16), le </w:t>
      </w:r>
      <w:r>
        <w:rPr>
          <w:rFonts w:ascii="Arial" w:cs="Arial" w:eastAsia="Arial" w:hAnsi="Arial"/>
          <w:b/>
          <w:bCs/>
          <w:color w:val="1B2118"/>
          <w:sz w:val="21"/>
          <w:szCs w:val="21"/>
        </w:rPr>
        <w:t xml:space="preserve">utenze monitorate</w:t>
      </w:r>
      <w:r>
        <w:rPr>
          <w:rFonts w:ascii="Arial" w:cs="Arial" w:eastAsia="Arial" w:hAnsi="Arial"/>
          <w:color w:val="1B2118"/>
          <w:sz w:val="21"/>
          <w:szCs w:val="21"/>
        </w:rPr>
        <w:t xml:space="preserve"> (Tabella 15) e se sono attive la </w:t>
      </w:r>
      <w:r>
        <w:rPr>
          <w:rFonts w:ascii="Arial" w:cs="Arial" w:eastAsia="Arial" w:hAnsi="Arial"/>
          <w:b/>
          <w:bCs/>
          <w:color w:val="1B2118"/>
          <w:sz w:val="21"/>
          <w:szCs w:val="21"/>
        </w:rPr>
        <w:t xml:space="preserve">tariffa puntuale</w:t>
      </w:r>
      <w:r>
        <w:rPr>
          <w:rFonts w:ascii="Arial" w:cs="Arial" w:eastAsia="Arial" w:hAnsi="Arial"/>
          <w:color w:val="1B2118"/>
          <w:sz w:val="21"/>
          <w:szCs w:val="21"/>
        </w:rPr>
        <w:t xml:space="preserve">, la misura ai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 (−2%) e la misura di ingombranti, verde o indumenti (−1%). Il portale mostra il </w:t>
      </w:r>
      <w:r>
        <w:rPr>
          <w:rFonts w:ascii="Arial" w:cs="Arial" w:eastAsia="Arial" w:hAnsi="Arial"/>
          <w:b/>
          <w:bCs/>
          <w:color w:val="1B2118"/>
          <w:sz w:val="21"/>
          <w:szCs w:val="21"/>
        </w:rPr>
        <w:t xml:space="preserve">buffer secondo il Capitolo 7</w:t>
      </w:r>
      <w:r>
        <w:rPr>
          <w:rFonts w:ascii="Arial" w:cs="Arial" w:eastAsia="Arial" w:hAnsi="Arial"/>
          <w:color w:val="1B2118"/>
          <w:sz w:val="21"/>
          <w:szCs w:val="21"/>
        </w:rPr>
        <w:t xml:space="preserve"> con le voci che lo compongono: 20% se si contano solo le utenze virtuose, più le Tabelle 15 e 16, con la parte della Tabella 16 dimezzata dalla tariffa puntuale, al massimo 80%. </w:t>
      </w:r>
      <w:r>
        <w:rPr>
          <w:rFonts w:ascii="Arial" w:cs="Arial" w:eastAsia="Arial" w:hAnsi="Arial"/>
          <w:b/>
          <w:bCs/>
          <w:color w:val="1B2118"/>
          <w:sz w:val="21"/>
          <w:szCs w:val="21"/>
        </w:rPr>
        <w:t xml:space="preserve">Usa questo buffer</w:t>
      </w:r>
      <w:r>
        <w:rPr>
          <w:rFonts w:ascii="Arial" w:cs="Arial" w:eastAsia="Arial" w:hAnsi="Arial"/>
          <w:color w:val="1B2118"/>
          <w:sz w:val="21"/>
          <w:szCs w:val="21"/>
        </w:rPr>
        <w:t xml:space="preserve"> lo applica allo scenario. Se il buffer impostato è più basso del minimo, i Risultati lo segnalano.</w:t>
      </w:r>
    </w:p>
    <w:p>
      <w:pPr>
        <w:spacing w:after="140" w:line="300"/>
      </w:pPr>
      <w:r>
        <w:rPr>
          <w:rFonts w:ascii="Arial" w:cs="Arial" w:eastAsia="Arial" w:hAnsi="Arial"/>
          <w:b/>
          <w:bCs/>
          <w:color w:val="1B2118"/>
          <w:sz w:val="21"/>
          <w:szCs w:val="21"/>
        </w:rPr>
        <w:t xml:space="preserve">Taratura.</w:t>
      </w:r>
      <w:r>
        <w:rPr>
          <w:rFonts w:ascii="Arial" w:cs="Arial" w:eastAsia="Arial" w:hAnsi="Arial"/>
          <w:color w:val="1B2118"/>
          <w:sz w:val="21"/>
          <w:szCs w:val="21"/>
        </w:rPr>
        <w:t xml:space="preserve"> Con il metodo per utenza si può scrivere un valore di crediti netti per abitante all'anno da riprodurre (ad esempio 0,19 di una stima già fatta) e premere </w:t>
      </w:r>
      <w:r>
        <w:rPr>
          <w:rFonts w:ascii="Arial" w:cs="Arial" w:eastAsia="Arial" w:hAnsi="Arial"/>
          <w:b/>
          <w:bCs/>
          <w:color w:val="1B2118"/>
          <w:sz w:val="21"/>
          <w:szCs w:val="21"/>
        </w:rPr>
        <w:t xml:space="preserve">Trova la variabilità</w:t>
      </w:r>
      <w:r>
        <w:rPr>
          <w:rFonts w:ascii="Arial" w:cs="Arial" w:eastAsia="Arial" w:hAnsi="Arial"/>
          <w:color w:val="1B2118"/>
          <w:sz w:val="21"/>
          <w:szCs w:val="21"/>
        </w:rPr>
        <w:t xml:space="preserve">: il portale cerca la variabilità tra utenze che porta a quel risultato con i dati dello scenario.</w:t>
      </w:r>
    </w:p>
    <w:p>
      <w:pPr>
        <w:spacing w:after="140" w:line="300"/>
      </w:pPr>
      <w:r>
        <w:rPr>
          <w:rFonts w:ascii="Arial" w:cs="Arial" w:eastAsia="Arial" w:hAnsi="Arial"/>
          <w:b/>
          <w:bCs/>
          <w:color w:val="1B2118"/>
          <w:sz w:val="21"/>
          <w:szCs w:val="21"/>
        </w:rPr>
        <w:t xml:space="preserve">2. Scenario di riferimento (Standard 4.8.1).</w:t>
      </w:r>
      <w:r>
        <w:rPr>
          <w:rFonts w:ascii="Arial" w:cs="Arial" w:eastAsia="Arial" w:hAnsi="Arial"/>
          <w:color w:val="1B2118"/>
          <w:sz w:val="21"/>
          <w:szCs w:val="21"/>
        </w:rPr>
        <w:t xml:space="preserve"> È la situazione «senza progetto» con cui si confrontano gli obiettivi, come nel Programma. Due modi, scelti con i pulsanti:</w:t>
      </w:r>
    </w:p>
    <w:p>
      <w:pPr>
        <w:pStyle w:val="ListParagraph"/>
        <w:numPr>
          <w:ilvl w:val="0"/>
          <w:numId w:val="2"/>
        </w:numPr>
        <w:spacing w:after="70" w:line="290"/>
      </w:pPr>
      <w:r>
        <w:rPr>
          <w:rFonts w:ascii="Arial" w:cs="Arial" w:eastAsia="Arial" w:hAnsi="Arial"/>
          <w:b/>
          <w:bCs/>
          <w:color w:val="1B2118"/>
          <w:sz w:val="21"/>
          <w:szCs w:val="21"/>
        </w:rPr>
        <w:t xml:space="preserve">Anno con il 65% di differenziata</w:t>
      </w:r>
      <w:r>
        <w:rPr>
          <w:rFonts w:ascii="Arial" w:cs="Arial" w:eastAsia="Arial" w:hAnsi="Arial"/>
          <w:color w:val="1B2118"/>
          <w:sz w:val="21"/>
          <w:szCs w:val="21"/>
        </w:rPr>
        <w:t xml:space="preserve">: l'anno in cui il Comune ha raggiunto l'obiettivo di legge (tra 64% e 66%, dati Catasto ISPRA), con popolazione e rifiuti per tipologia in tonnellate; si compilano a mano o, per gli Amministratori, si importano da un calcolo dei crediti. Se la differenziata dell'anno indicato è fuori dall'intervallo il portale lo segnala (Standard 4.8.1 e addizionalità normativa 4.9.1); se è indicato il cluster, segnala anche le tipologie che si scostano più del 30% dalla Tabella 3 (Gestione della qualità dei dati, 3.1.2);</w:t>
      </w:r>
    </w:p>
    <w:p>
      <w:pPr>
        <w:pStyle w:val="ListParagraph"/>
        <w:numPr>
          <w:ilvl w:val="0"/>
          <w:numId w:val="2"/>
        </w:numPr>
        <w:spacing w:after="70" w:line="290"/>
      </w:pPr>
      <w:r>
        <w:rPr>
          <w:rFonts w:ascii="Arial" w:cs="Arial" w:eastAsia="Arial" w:hAnsi="Arial"/>
          <w:b/>
          <w:bCs/>
          <w:color w:val="1B2118"/>
          <w:sz w:val="21"/>
          <w:szCs w:val="21"/>
        </w:rPr>
        <w:t xml:space="preserve">Valori medi del cluster (Tabella 3)</w:t>
      </w:r>
      <w:r>
        <w:rPr>
          <w:rFonts w:ascii="Arial" w:cs="Arial" w:eastAsia="Arial" w:hAnsi="Arial"/>
          <w:color w:val="1B2118"/>
          <w:sz w:val="21"/>
          <w:szCs w:val="21"/>
        </w:rPr>
        <w:t xml:space="preserve">: quando il Comune non ha un anno con il 65%, si sceglie il cluster SOSE, si indica la popolazione ISPRA 2022 e si preme </w:t>
      </w:r>
      <w:r>
        <w:rPr>
          <w:rFonts w:ascii="Arial" w:cs="Arial" w:eastAsia="Arial" w:hAnsi="Arial"/>
          <w:b/>
          <w:bCs/>
          <w:color w:val="1B2118"/>
          <w:sz w:val="21"/>
          <w:szCs w:val="21"/>
        </w:rPr>
        <w:t xml:space="preserve">Calcola dai valori medi del cluster</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A destra il riepilogo: produzione totale e pro capite, secco pro capite, </w:t>
      </w:r>
      <w:r>
        <w:rPr>
          <w:rFonts w:ascii="Arial" w:cs="Arial" w:eastAsia="Arial" w:hAnsi="Arial"/>
          <w:b/>
          <w:bCs/>
          <w:color w:val="1B2118"/>
          <w:sz w:val="21"/>
          <w:szCs w:val="21"/>
        </w:rPr>
        <w:t xml:space="preserve">% di raccolta differenziata</w:t>
      </w:r>
      <w:r>
        <w:rPr>
          <w:rFonts w:ascii="Arial" w:cs="Arial" w:eastAsia="Arial" w:hAnsi="Arial"/>
          <w:color w:val="1B2118"/>
          <w:sz w:val="21"/>
          <w:szCs w:val="21"/>
        </w:rPr>
        <w:t xml:space="preserve"> e fattore di emissione del secco (formule 16-17). </w:t>
      </w:r>
      <w:r>
        <w:rPr>
          <w:rFonts w:ascii="Arial" w:cs="Arial" w:eastAsia="Arial" w:hAnsi="Arial"/>
          <w:b/>
          <w:bCs/>
          <w:color w:val="1B2118"/>
          <w:sz w:val="21"/>
          <w:szCs w:val="21"/>
        </w:rPr>
        <w:t xml:space="preserve">Nel calcolo il riferimento è sempre portato alla soglia minima del 65% di differenziata</w:t>
      </w:r>
      <w:r>
        <w:rPr>
          <w:rFonts w:ascii="Arial" w:cs="Arial" w:eastAsia="Arial" w:hAnsi="Arial"/>
          <w:color w:val="1B2118"/>
          <w:sz w:val="21"/>
          <w:szCs w:val="21"/>
        </w:rPr>
        <w:t xml:space="preserve">: stessa produzione totale, secco al 35%. Ogni anno i risultati si calcolano per differenza da questa soglia, e la tabella dei risultati mostra di quanti punti la differenziata supera il 65%. Se i dati inseriti hanno una percentuale diversa, un avviso lo segnala; un altro avviso compare se la produzione pro capite è fuori scala (unità di misura sbagliata).</w:t>
      </w:r>
    </w:p>
    <w:p>
      <w:pPr>
        <w:spacing w:after="140" w:line="300"/>
      </w:pPr>
      <w:r>
        <w:rPr>
          <w:rFonts w:ascii="Arial" w:cs="Arial" w:eastAsia="Arial" w:hAnsi="Arial"/>
          <w:b/>
          <w:bCs/>
          <w:color w:val="1B2118"/>
          <w:sz w:val="21"/>
          <w:szCs w:val="21"/>
        </w:rPr>
        <w:t xml:space="preserve">Situazione attuale (facoltativa).</w:t>
      </w:r>
      <w:r>
        <w:rPr>
          <w:rFonts w:ascii="Arial" w:cs="Arial" w:eastAsia="Arial" w:hAnsi="Arial"/>
          <w:color w:val="1B2118"/>
          <w:sz w:val="21"/>
          <w:szCs w:val="21"/>
        </w:rPr>
        <w:t xml:space="preserve"> L'ultimo anno con dati disponibili (popolazione, produzione pro capite, secco pro capite): è il punto di partenza degli obiettivi e della traiettoria. I crediti si calcolano sempre rispetto allo scenario di riferimento.</w:t>
      </w:r>
    </w:p>
    <w:p>
      <w:pPr>
        <w:spacing w:after="140" w:line="300"/>
      </w:pPr>
      <w:r>
        <w:rPr>
          <w:rFonts w:ascii="Arial" w:cs="Arial" w:eastAsia="Arial" w:hAnsi="Arial"/>
          <w:b/>
          <w:bCs/>
          <w:color w:val="1B2118"/>
          <w:sz w:val="21"/>
          <w:szCs w:val="21"/>
        </w:rPr>
        <w:t xml:space="preserve">3. Obiettivi anno per anno.</w:t>
      </w:r>
      <w:r>
        <w:rPr>
          <w:rFonts w:ascii="Arial" w:cs="Arial" w:eastAsia="Arial" w:hAnsi="Arial"/>
          <w:color w:val="1B2118"/>
          <w:sz w:val="21"/>
          <w:szCs w:val="21"/>
        </w:rPr>
        <w:t xml:space="preserve"> Una riga per ogni anno del periodo: popolazione, </w:t>
      </w:r>
      <w:r>
        <w:rPr>
          <w:rFonts w:ascii="Arial" w:cs="Arial" w:eastAsia="Arial" w:hAnsi="Arial"/>
          <w:b/>
          <w:bCs/>
          <w:color w:val="1B2118"/>
          <w:sz w:val="21"/>
          <w:szCs w:val="21"/>
        </w:rPr>
        <w:t xml:space="preserve">produzione totale prevista</w:t>
      </w:r>
      <w:r>
        <w:rPr>
          <w:rFonts w:ascii="Arial" w:cs="Arial" w:eastAsia="Arial" w:hAnsi="Arial"/>
          <w:color w:val="1B2118"/>
          <w:sz w:val="21"/>
          <w:szCs w:val="21"/>
        </w:rPr>
        <w:t xml:space="preserve"> (in tonnellate, oppure scrivendo il pro capite in kg/ab) e </w:t>
      </w:r>
      <w:r>
        <w:rPr>
          <w:rFonts w:ascii="Arial" w:cs="Arial" w:eastAsia="Arial" w:hAnsi="Arial"/>
          <w:b/>
          <w:bCs/>
          <w:color w:val="1B2118"/>
          <w:sz w:val="21"/>
          <w:szCs w:val="21"/>
        </w:rPr>
        <w:t xml:space="preserve">secco residuo pro capite</w:t>
      </w:r>
      <w:r>
        <w:rPr>
          <w:rFonts w:ascii="Arial" w:cs="Arial" w:eastAsia="Arial" w:hAnsi="Arial"/>
          <w:color w:val="1B2118"/>
          <w:sz w:val="21"/>
          <w:szCs w:val="21"/>
        </w:rPr>
        <w:t xml:space="preserve"> obiettivo. Per non compilare tutto a mano, indicate gli obiettivi dell'ultimo anno (produzione pro capite e secco pro capite) e premete </w:t>
      </w:r>
      <w:r>
        <w:rPr>
          <w:rFonts w:ascii="Arial" w:cs="Arial" w:eastAsia="Arial" w:hAnsi="Arial"/>
          <w:b/>
          <w:bCs/>
          <w:color w:val="1B2118"/>
          <w:sz w:val="21"/>
          <w:szCs w:val="21"/>
        </w:rPr>
        <w:t xml:space="preserve">Applica la traiettoria</w:t>
      </w:r>
      <w:r>
        <w:rPr>
          <w:rFonts w:ascii="Arial" w:cs="Arial" w:eastAsia="Arial" w:hAnsi="Arial"/>
          <w:color w:val="1B2118"/>
          <w:sz w:val="21"/>
          <w:szCs w:val="21"/>
        </w:rPr>
        <w:t xml:space="preserve">: il portale riempie gli anni con un andamento lineare dalla situazione attuale (o dal riferimento), poi potete correggere i singoli anni. Per ogni anno il portale ricalcola il secco in tonnellate e la </w:t>
      </w:r>
      <w:r>
        <w:rPr>
          <w:rFonts w:ascii="Arial" w:cs="Arial" w:eastAsia="Arial" w:hAnsi="Arial"/>
          <w:b/>
          <w:bCs/>
          <w:color w:val="1B2118"/>
          <w:sz w:val="21"/>
          <w:szCs w:val="21"/>
        </w:rPr>
        <w:t xml:space="preserve">% di differenziata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4. Risultati.</w:t>
      </w:r>
      <w:r>
        <w:rPr>
          <w:rFonts w:ascii="Arial" w:cs="Arial" w:eastAsia="Arial" w:hAnsi="Arial"/>
          <w:color w:val="1B2118"/>
          <w:sz w:val="21"/>
          <w:szCs w:val="21"/>
        </w:rPr>
        <w:t xml:space="preserve"> Si aggiornano a ogni modifica:</w:t>
      </w:r>
    </w:p>
    <w:p>
      <w:pPr>
        <w:pStyle w:val="ListParagraph"/>
        <w:numPr>
          <w:ilvl w:val="0"/>
          <w:numId w:val="2"/>
        </w:numPr>
        <w:spacing w:after="70" w:line="290"/>
      </w:pPr>
      <w:r>
        <w:rPr>
          <w:rFonts w:ascii="Arial" w:cs="Arial" w:eastAsia="Arial" w:hAnsi="Arial"/>
          <w:color w:val="1B2118"/>
          <w:sz w:val="21"/>
          <w:szCs w:val="21"/>
        </w:rPr>
        <w:t xml:space="preserve">crediti netti stimati nel periodo e media annua, % di differenziata dell'ultimo anno, rifiuti evitati;</w:t>
      </w:r>
    </w:p>
    <w:p>
      <w:pPr>
        <w:pStyle w:val="ListParagraph"/>
        <w:numPr>
          <w:ilvl w:val="0"/>
          <w:numId w:val="2"/>
        </w:numPr>
        <w:spacing w:after="70" w:line="290"/>
      </w:pPr>
      <w:r>
        <w:rPr>
          <w:rFonts w:ascii="Arial" w:cs="Arial" w:eastAsia="Arial" w:hAnsi="Arial"/>
          <w:color w:val="1B2118"/>
          <w:sz w:val="21"/>
          <w:szCs w:val="21"/>
        </w:rPr>
        <w:t xml:space="preserve">grafico dei crediti netti per anno e grafico della % di differenziata rispetto all'anno base;</w:t>
      </w:r>
    </w:p>
    <w:p>
      <w:pPr>
        <w:pStyle w:val="ListParagraph"/>
        <w:numPr>
          <w:ilvl w:val="0"/>
          <w:numId w:val="2"/>
        </w:numPr>
        <w:spacing w:after="70" w:line="290"/>
      </w:pPr>
      <w:r>
        <w:rPr>
          <w:rFonts w:ascii="Arial" w:cs="Arial" w:eastAsia="Arial" w:hAnsi="Arial"/>
          <w:color w:val="1B2118"/>
          <w:sz w:val="21"/>
          <w:szCs w:val="21"/>
        </w:rPr>
        <w:t xml:space="preserve">riquadro </w:t>
      </w:r>
      <w:r>
        <w:rPr>
          <w:rFonts w:ascii="Arial" w:cs="Arial" w:eastAsia="Arial" w:hAnsi="Arial"/>
          <w:b/>
          <w:bCs/>
          <w:color w:val="1B2118"/>
          <w:sz w:val="21"/>
          <w:szCs w:val="21"/>
        </w:rPr>
        <w:t xml:space="preserve">Per abitante all'anno</w:t>
      </w:r>
      <w:r>
        <w:rPr>
          <w:rFonts w:ascii="Arial" w:cs="Arial" w:eastAsia="Arial" w:hAnsi="Arial"/>
          <w:color w:val="1B2118"/>
          <w:sz w:val="21"/>
          <w:szCs w:val="21"/>
        </w:rPr>
        <w:t xml:space="preserve">: crediti netti medi per abitante, da confrontare con le stime dei contratti (Allegato A EsaCom: 0,19-0,23);</w:t>
      </w:r>
    </w:p>
    <w:p>
      <w:pPr>
        <w:pStyle w:val="ListParagraph"/>
        <w:numPr>
          <w:ilvl w:val="0"/>
          <w:numId w:val="2"/>
        </w:numPr>
        <w:spacing w:after="70" w:line="290"/>
      </w:pPr>
      <w:r>
        <w:rPr>
          <w:rFonts w:ascii="Arial" w:cs="Arial" w:eastAsia="Arial" w:hAnsi="Arial"/>
          <w:color w:val="1B2118"/>
          <w:sz w:val="21"/>
          <w:szCs w:val="21"/>
        </w:rPr>
        <w:t xml:space="preserve">tabella anno per anno: produzione, scenario di riferimento, rifiuti evitati, crediti lordi, buffer, crediti netti e cumulati; con il metodo per utenza anche la colonna </w:t>
      </w:r>
      <w:r>
        <w:rPr>
          <w:rFonts w:ascii="Arial" w:cs="Arial" w:eastAsia="Arial" w:hAnsi="Arial"/>
          <w:b/>
          <w:bCs/>
          <w:color w:val="1B2118"/>
          <w:sz w:val="21"/>
          <w:szCs w:val="21"/>
        </w:rPr>
        <w:t xml:space="preserve">Bilancio del Comune</w:t>
      </w:r>
      <w:r>
        <w:rPr>
          <w:rFonts w:ascii="Arial" w:cs="Arial" w:eastAsia="Arial" w:hAnsi="Arial"/>
          <w:color w:val="1B2118"/>
          <w:sz w:val="21"/>
          <w:szCs w:val="21"/>
        </w:rPr>
        <w:t xml:space="preserve">, per confronto;</w:t>
      </w:r>
    </w:p>
    <w:p>
      <w:pPr>
        <w:pStyle w:val="ListParagraph"/>
        <w:numPr>
          <w:ilvl w:val="0"/>
          <w:numId w:val="2"/>
        </w:numPr>
        <w:spacing w:after="70" w:line="290"/>
      </w:pPr>
      <w:r>
        <w:rPr>
          <w:rFonts w:ascii="Arial" w:cs="Arial" w:eastAsia="Arial" w:hAnsi="Arial"/>
          <w:color w:val="1B2118"/>
          <w:sz w:val="21"/>
          <w:szCs w:val="21"/>
        </w:rPr>
        <w:t xml:space="preserve">eventuali avvisi (dati mancanti, secco superiore al totale).</w:t>
      </w:r>
    </w:p>
    <w:p>
      <w:pPr>
        <w:spacing w:after="140" w:line="30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per conservare lo scenario: nell'elenco </w:t>
      </w:r>
      <w:r>
        <w:rPr>
          <w:rFonts w:ascii="Arial" w:cs="Arial" w:eastAsia="Arial" w:hAnsi="Arial"/>
          <w:i/>
          <w:iCs/>
          <w:color w:val="1B2118"/>
          <w:sz w:val="21"/>
          <w:szCs w:val="21"/>
        </w:rPr>
        <w:t xml:space="preserve">Scenari per Comune</w:t>
      </w:r>
      <w:r>
        <w:rPr>
          <w:rFonts w:ascii="Arial" w:cs="Arial" w:eastAsia="Arial" w:hAnsi="Arial"/>
          <w:color w:val="1B2118"/>
          <w:sz w:val="21"/>
          <w:szCs w:val="21"/>
        </w:rPr>
        <w:t xml:space="preserve"> compaiono, per confrontarli, la % di differenziata finale e i crediti netti stimati di ogni scenario. Per consegnare o presentare lo scenario al Comune:</w:t>
      </w:r>
    </w:p>
    <w:p>
      <w:pPr>
        <w:pStyle w:val="ListParagraph"/>
        <w:numPr>
          <w:ilvl w:val="0"/>
          <w:numId w:val="2"/>
        </w:numPr>
        <w:spacing w:after="70" w:line="290"/>
      </w:pPr>
      <w:r>
        <w:rPr>
          <w:rFonts w:ascii="Arial" w:cs="Arial" w:eastAsia="Arial" w:hAnsi="Arial"/>
          <w:b/>
          <w:bCs/>
          <w:color w:val="1B2118"/>
          <w:sz w:val="21"/>
          <w:szCs w:val="21"/>
        </w:rPr>
        <w:t xml:space="preserve">Scarica PDF</w:t>
      </w:r>
      <w:r>
        <w:rPr>
          <w:rFonts w:ascii="Arial" w:cs="Arial" w:eastAsia="Arial" w:hAnsi="Arial"/>
          <w:color w:val="1B2118"/>
          <w:sz w:val="21"/>
          <w:szCs w:val="21"/>
        </w:rPr>
        <w:t xml:space="preserve">: un rapporto impaginato in A4 orizzontale con </w:t>
      </w:r>
      <w:r>
        <w:rPr>
          <w:rFonts w:ascii="Arial" w:cs="Arial" w:eastAsia="Arial" w:hAnsi="Arial"/>
          <w:b/>
          <w:bCs/>
          <w:color w:val="1B2118"/>
          <w:sz w:val="21"/>
          <w:szCs w:val="21"/>
        </w:rPr>
        <w:t xml:space="preserve">tutti i dati della pagina</w:t>
      </w:r>
      <w:r>
        <w:rPr>
          <w:rFonts w:ascii="Arial" w:cs="Arial" w:eastAsia="Arial" w:hAnsi="Arial"/>
          <w:color w:val="1B2118"/>
          <w:sz w:val="21"/>
          <w:szCs w:val="21"/>
        </w:rPr>
        <w:t xml:space="preserve">, sezione per sezione. Contiene:</w:t>
      </w:r>
    </w:p>
    <w:p>
      <w:pPr>
        <w:pStyle w:val="ListParagraph"/>
        <w:numPr>
          <w:ilvl w:val="1"/>
          <w:numId w:val="2"/>
        </w:numPr>
        <w:spacing w:after="70" w:line="290"/>
      </w:pPr>
      <w:r>
        <w:rPr>
          <w:rFonts w:ascii="Arial" w:cs="Arial" w:eastAsia="Arial" w:hAnsi="Arial"/>
          <w:color w:val="1B2118"/>
          <w:sz w:val="20"/>
          <w:szCs w:val="20"/>
        </w:rPr>
        <w:t xml:space="preserve">i loghi, la scheda dello scenario, l'avvertenza «stima ex ante» e gli indicatori di sintesi;</w:t>
      </w:r>
    </w:p>
    <w:p>
      <w:pPr>
        <w:pStyle w:val="ListParagraph"/>
        <w:numPr>
          <w:ilvl w:val="1"/>
          <w:numId w:val="2"/>
        </w:numPr>
        <w:spacing w:after="70" w:line="290"/>
      </w:pPr>
      <w:r>
        <w:rPr>
          <w:rFonts w:ascii="Arial" w:cs="Arial" w:eastAsia="Arial" w:hAnsi="Arial"/>
          <w:color w:val="1B2118"/>
          <w:sz w:val="20"/>
          <w:szCs w:val="20"/>
        </w:rPr>
        <w:t xml:space="preserve">i </w:t>
      </w:r>
      <w:r>
        <w:rPr>
          <w:rFonts w:ascii="Arial" w:cs="Arial" w:eastAsia="Arial" w:hAnsi="Arial"/>
          <w:b/>
          <w:bCs/>
          <w:color w:val="1B2118"/>
          <w:sz w:val="20"/>
          <w:szCs w:val="20"/>
        </w:rPr>
        <w:t xml:space="preserve">grafici</w:t>
      </w:r>
      <w:r>
        <w:rPr>
          <w:rFonts w:ascii="Arial" w:cs="Arial" w:eastAsia="Arial" w:hAnsi="Arial"/>
          <w:color w:val="1B2118"/>
          <w:sz w:val="20"/>
          <w:szCs w:val="20"/>
        </w:rPr>
        <w:t xml:space="preserve">: crediti netti per anno, raccolta differenziata con la soglia del 65%, margine netto per anno e margine cumulato;</w:t>
      </w:r>
    </w:p>
    <w:p>
      <w:pPr>
        <w:pStyle w:val="ListParagraph"/>
        <w:numPr>
          <w:ilvl w:val="1"/>
          <w:numId w:val="2"/>
        </w:numPr>
        <w:spacing w:after="70" w:line="290"/>
      </w:pPr>
      <w:r>
        <w:rPr>
          <w:rFonts w:ascii="Arial" w:cs="Arial" w:eastAsia="Arial" w:hAnsi="Arial"/>
          <w:color w:val="1B2118"/>
          <w:sz w:val="20"/>
          <w:szCs w:val="20"/>
        </w:rPr>
        <w:t xml:space="preserve">le </w:t>
      </w:r>
      <w:r>
        <w:rPr>
          <w:rFonts w:ascii="Arial" w:cs="Arial" w:eastAsia="Arial" w:hAnsi="Arial"/>
          <w:b/>
          <w:bCs/>
          <w:color w:val="1B2118"/>
          <w:sz w:val="20"/>
          <w:szCs w:val="20"/>
        </w:rPr>
        <w:t xml:space="preserve">impostazioni</w:t>
      </w:r>
      <w:r>
        <w:rPr>
          <w:rFonts w:ascii="Arial" w:cs="Arial" w:eastAsia="Arial" w:hAnsi="Arial"/>
          <w:color w:val="1B2118"/>
          <w:sz w:val="20"/>
          <w:szCs w:val="20"/>
        </w:rPr>
        <w:t xml:space="preserve"> (metodo di stima, buffer previsto, Tabelle 15 e 16, tariffa puntuale) con il buffer calcolato secondo il Capitolo 7;</w:t>
      </w:r>
    </w:p>
    <w:p>
      <w:pPr>
        <w:pStyle w:val="ListParagraph"/>
        <w:numPr>
          <w:ilvl w:val="1"/>
          <w:numId w:val="2"/>
        </w:numPr>
        <w:spacing w:after="70" w:line="290"/>
      </w:pPr>
      <w:r>
        <w:rPr>
          <w:rFonts w:ascii="Arial" w:cs="Arial" w:eastAsia="Arial" w:hAnsi="Arial"/>
          <w:color w:val="1B2118"/>
          <w:sz w:val="20"/>
          <w:szCs w:val="20"/>
        </w:rPr>
        <w:t xml:space="preserve">lo </w:t>
      </w:r>
      <w:r>
        <w:rPr>
          <w:rFonts w:ascii="Arial" w:cs="Arial" w:eastAsia="Arial" w:hAnsi="Arial"/>
          <w:b/>
          <w:bCs/>
          <w:color w:val="1B2118"/>
          <w:sz w:val="20"/>
          <w:szCs w:val="20"/>
        </w:rPr>
        <w:t xml:space="preserve">scenario di riferimento</w:t>
      </w:r>
      <w:r>
        <w:rPr>
          <w:rFonts w:ascii="Arial" w:cs="Arial" w:eastAsia="Arial" w:hAnsi="Arial"/>
          <w:color w:val="1B2118"/>
          <w:sz w:val="20"/>
          <w:szCs w:val="20"/>
        </w:rPr>
        <w:t xml:space="preserve"> con i rifiuti di ogni tipologia (tonnellate e kg per abitante) e il riepilogo, la </w:t>
      </w:r>
      <w:r>
        <w:rPr>
          <w:rFonts w:ascii="Arial" w:cs="Arial" w:eastAsia="Arial" w:hAnsi="Arial"/>
          <w:b/>
          <w:bCs/>
          <w:color w:val="1B2118"/>
          <w:sz w:val="20"/>
          <w:szCs w:val="20"/>
        </w:rPr>
        <w:t xml:space="preserve">situazione attuale</w:t>
      </w:r>
      <w:r>
        <w:rPr>
          <w:rFonts w:ascii="Arial" w:cs="Arial" w:eastAsia="Arial" w:hAnsi="Arial"/>
          <w:color w:val="1B2118"/>
          <w:sz w:val="20"/>
          <w:szCs w:val="20"/>
        </w:rPr>
        <w:t xml:space="preserve"> e gli </w:t>
      </w:r>
      <w:r>
        <w:rPr>
          <w:rFonts w:ascii="Arial" w:cs="Arial" w:eastAsia="Arial" w:hAnsi="Arial"/>
          <w:b/>
          <w:bCs/>
          <w:color w:val="1B2118"/>
          <w:sz w:val="20"/>
          <w:szCs w:val="20"/>
        </w:rPr>
        <w:t xml:space="preserve">obiettivi anno per anno</w:t>
      </w:r>
      <w:r>
        <w:rPr>
          <w:rFonts w:ascii="Arial" w:cs="Arial" w:eastAsia="Arial" w:hAnsi="Arial"/>
          <w:color w:val="1B2118"/>
          <w:sz w:val="20"/>
          <w:szCs w:val="20"/>
        </w:rPr>
        <w:t xml:space="preserve">;</w:t>
      </w:r>
    </w:p>
    <w:p>
      <w:pPr>
        <w:pStyle w:val="ListParagraph"/>
        <w:numPr>
          <w:ilvl w:val="1"/>
          <w:numId w:val="2"/>
        </w:numPr>
        <w:spacing w:after="70" w:line="290"/>
      </w:pPr>
      <w:r>
        <w:rPr>
          <w:rFonts w:ascii="Arial" w:cs="Arial" w:eastAsia="Arial" w:hAnsi="Arial"/>
          <w:color w:val="1B2118"/>
          <w:sz w:val="20"/>
          <w:szCs w:val="20"/>
        </w:rPr>
        <w:t xml:space="preserve">i </w:t>
      </w:r>
      <w:r>
        <w:rPr>
          <w:rFonts w:ascii="Arial" w:cs="Arial" w:eastAsia="Arial" w:hAnsi="Arial"/>
          <w:b/>
          <w:bCs/>
          <w:color w:val="1B2118"/>
          <w:sz w:val="20"/>
          <w:szCs w:val="20"/>
        </w:rPr>
        <w:t xml:space="preserve">risultati</w:t>
      </w:r>
      <w:r>
        <w:rPr>
          <w:rFonts w:ascii="Arial" w:cs="Arial" w:eastAsia="Arial" w:hAnsi="Arial"/>
          <w:color w:val="1B2118"/>
          <w:sz w:val="20"/>
          <w:szCs w:val="20"/>
        </w:rPr>
        <w:t xml:space="preserve"> anno per anno con la riga del totale e la spiegazione «da dove vengono i crediti»;</w:t>
      </w:r>
    </w:p>
    <w:p>
      <w:pPr>
        <w:pStyle w:val="ListParagraph"/>
        <w:numPr>
          <w:ilvl w:val="1"/>
          <w:numId w:val="2"/>
        </w:numPr>
        <w:spacing w:after="70" w:line="290"/>
      </w:pPr>
      <w:r>
        <w:rPr>
          <w:rFonts w:ascii="Arial" w:cs="Arial" w:eastAsia="Arial" w:hAnsi="Arial"/>
          <w:color w:val="1B2118"/>
          <w:sz w:val="20"/>
          <w:szCs w:val="20"/>
        </w:rPr>
        <w:t xml:space="preserve">la </w:t>
      </w:r>
      <w:r>
        <w:rPr>
          <w:rFonts w:ascii="Arial" w:cs="Arial" w:eastAsia="Arial" w:hAnsi="Arial"/>
          <w:b/>
          <w:bCs/>
          <w:color w:val="1B2118"/>
          <w:sz w:val="20"/>
          <w:szCs w:val="20"/>
        </w:rPr>
        <w:t xml:space="preserve">parte economica</w:t>
      </w:r>
      <w:r>
        <w:rPr>
          <w:rFonts w:ascii="Arial" w:cs="Arial" w:eastAsia="Arial" w:hAnsi="Arial"/>
          <w:color w:val="1B2118"/>
          <w:sz w:val="20"/>
          <w:szCs w:val="20"/>
        </w:rPr>
        <w:t xml:space="preserve">: parametri inseriti (valore del credito, variazione annua, costi dell'ente e altri costi), costi del Caso 1 o 2 con il totale annuo, ricavi, costi e margine anno per anno;</w:t>
      </w:r>
    </w:p>
    <w:p>
      <w:pPr>
        <w:pStyle w:val="ListParagraph"/>
        <w:numPr>
          <w:ilvl w:val="1"/>
          <w:numId w:val="2"/>
        </w:numPr>
        <w:spacing w:after="70" w:line="290"/>
      </w:pPr>
      <w:r>
        <w:rPr>
          <w:rFonts w:ascii="Arial" w:cs="Arial" w:eastAsia="Arial" w:hAnsi="Arial"/>
          <w:color w:val="1B2118"/>
          <w:sz w:val="20"/>
          <w:szCs w:val="20"/>
        </w:rPr>
        <w:t xml:space="preserve">le note, gli avvisi e i numeri di pagina;</w:t>
      </w:r>
    </w:p>
    <w:p>
      <w:pPr>
        <w:pStyle w:val="ListParagraph"/>
        <w:numPr>
          <w:ilvl w:val="0"/>
          <w:numId w:val="2"/>
        </w:numPr>
        <w:spacing w:after="70" w:line="290"/>
      </w:pPr>
      <w:r>
        <w:rPr>
          <w:rFonts w:ascii="Arial" w:cs="Arial" w:eastAsia="Arial" w:hAnsi="Arial"/>
          <w:b/>
          <w:bCs/>
          <w:color w:val="1B2118"/>
          <w:sz w:val="21"/>
          <w:szCs w:val="21"/>
        </w:rPr>
        <w:t xml:space="preserve">Esporta Excel</w:t>
      </w:r>
      <w:r>
        <w:rPr>
          <w:rFonts w:ascii="Arial" w:cs="Arial" w:eastAsia="Arial" w:hAnsi="Arial"/>
          <w:color w:val="1B2118"/>
          <w:sz w:val="21"/>
          <w:szCs w:val="21"/>
        </w:rPr>
        <w:t xml:space="preserve">: un file .xlsx con i fogli </w:t>
      </w:r>
      <w:r>
        <w:rPr>
          <w:rFonts w:ascii="Arial" w:cs="Arial" w:eastAsia="Arial" w:hAnsi="Arial"/>
          <w:b/>
          <w:bCs/>
          <w:color w:val="1B2118"/>
          <w:sz w:val="21"/>
          <w:szCs w:val="21"/>
        </w:rPr>
        <w:t xml:space="preserve">Sintesi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Dati inseriti</w:t>
      </w:r>
      <w:r>
        <w:rPr>
          <w:rFonts w:ascii="Arial" w:cs="Arial" w:eastAsia="Arial" w:hAnsi="Arial"/>
          <w:color w:val="1B2118"/>
          <w:sz w:val="21"/>
          <w:szCs w:val="21"/>
        </w:rPr>
        <w:t xml:space="preserve"> (tutti i valori della pagina, per rifare la simulazione), </w:t>
      </w:r>
      <w:r>
        <w:rPr>
          <w:rFonts w:ascii="Arial" w:cs="Arial" w:eastAsia="Arial" w:hAnsi="Arial"/>
          <w:b/>
          <w:bCs/>
          <w:color w:val="1B2118"/>
          <w:sz w:val="21"/>
          <w:szCs w:val="21"/>
        </w:rPr>
        <w:t xml:space="preserve">Anni</w:t>
      </w:r>
      <w:r>
        <w:rPr>
          <w:rFonts w:ascii="Arial" w:cs="Arial" w:eastAsia="Arial" w:hAnsi="Arial"/>
          <w:color w:val="1B2118"/>
          <w:sz w:val="21"/>
          <w:szCs w:val="21"/>
        </w:rPr>
        <w:t xml:space="preserve"> (con il totale), </w:t>
      </w:r>
      <w:r>
        <w:rPr>
          <w:rFonts w:ascii="Arial" w:cs="Arial" w:eastAsia="Arial" w:hAnsi="Arial"/>
          <w:b/>
          <w:bCs/>
          <w:color w:val="1B2118"/>
          <w:sz w:val="21"/>
          <w:szCs w:val="21"/>
        </w:rPr>
        <w:t xml:space="preserve">Economia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Costi</w:t>
      </w:r>
      <w:r>
        <w:rPr>
          <w:rFonts w:ascii="Arial" w:cs="Arial" w:eastAsia="Arial" w:hAnsi="Arial"/>
          <w:color w:val="1B2118"/>
          <w:sz w:val="21"/>
          <w:szCs w:val="21"/>
        </w:rPr>
        <w:t xml:space="preserve">; i numeri restano numeri, quindi si possono sommare, ordinare e usare nei grafici;</w:t>
      </w:r>
    </w:p>
    <w:p>
      <w:pPr>
        <w:pStyle w:val="ListParagraph"/>
        <w:numPr>
          <w:ilvl w:val="0"/>
          <w:numId w:val="2"/>
        </w:numPr>
        <w:spacing w:after="70" w:line="290"/>
      </w:pPr>
      <w:r>
        <w:rPr>
          <w:rFonts w:ascii="Arial" w:cs="Arial" w:eastAsia="Arial" w:hAnsi="Arial"/>
          <w:b/>
          <w:bCs/>
          <w:color w:val="1B2118"/>
          <w:sz w:val="21"/>
          <w:szCs w:val="21"/>
        </w:rPr>
        <w:t xml:space="preserve">CSV</w:t>
      </w:r>
      <w:r>
        <w:rPr>
          <w:rFonts w:ascii="Arial" w:cs="Arial" w:eastAsia="Arial" w:hAnsi="Arial"/>
          <w:color w:val="1B2118"/>
          <w:sz w:val="21"/>
          <w:szCs w:val="21"/>
        </w:rPr>
        <w:t xml:space="preserve">: la tabella in formato testo, per altri programmi.</w:t>
      </w:r>
    </w:p>
    <w:p>
      <w:pPr>
        <w:spacing w:after="140" w:line="300"/>
      </w:pPr>
      <w:r>
        <w:rPr>
          <w:rFonts w:ascii="Arial" w:cs="Arial" w:eastAsia="Arial" w:hAnsi="Arial"/>
          <w:color w:val="1B2118"/>
          <w:sz w:val="21"/>
          <w:szCs w:val="21"/>
        </w:rPr>
        <w:t xml:space="preserve">PDF ed Excel contengono le stesse tabelle. Prima di scaricarli salvate lo scenario, così file e portale coincidono.</w:t>
      </w:r>
    </w:p>
    <w:p>
      <w:pPr>
        <w:spacing w:after="140" w:line="300"/>
      </w:pPr>
      <w:r>
        <w:rPr>
          <w:rFonts w:ascii="Arial" w:cs="Arial" w:eastAsia="Arial" w:hAnsi="Arial"/>
          <w:b/>
          <w:bCs/>
          <w:color w:val="1B2118"/>
          <w:sz w:val="21"/>
          <w:szCs w:val="21"/>
        </w:rPr>
        <w:t xml:space="preserve">5. Simulazione economica: ricavi e costi per il Comune.</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valore del credito</w:t>
      </w:r>
      <w:r>
        <w:rPr>
          <w:rFonts w:ascii="Arial" w:cs="Arial" w:eastAsia="Arial" w:hAnsi="Arial"/>
          <w:color w:val="1B2118"/>
          <w:sz w:val="21"/>
          <w:szCs w:val="21"/>
        </w:rPr>
        <w:t xml:space="preserve"> (€ per credito; un credito è una tonnellata di CO₂eq) si digita </w:t>
      </w:r>
      <w:r>
        <w:rPr>
          <w:rFonts w:ascii="Arial" w:cs="Arial" w:eastAsia="Arial" w:hAnsi="Arial"/>
          <w:b/>
          <w:bCs/>
          <w:color w:val="1B2118"/>
          <w:sz w:val="21"/>
          <w:szCs w:val="21"/>
        </w:rPr>
        <w:t xml:space="preserve">anno per anno</w:t>
      </w:r>
      <w:r>
        <w:rPr>
          <w:rFonts w:ascii="Arial" w:cs="Arial" w:eastAsia="Arial" w:hAnsi="Arial"/>
          <w:color w:val="1B2118"/>
          <w:sz w:val="21"/>
          <w:szCs w:val="21"/>
        </w:rPr>
        <w:t xml:space="preserve"> nella colonna «Valore» della tabella. Il portale propone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compilare tutti gli anni insieme indicate il valore proposto e, se volete, una variazione annua, poi premete </w:t>
      </w:r>
      <w:r>
        <w:rPr>
          <w:rFonts w:ascii="Arial" w:cs="Arial" w:eastAsia="Arial" w:hAnsi="Arial"/>
          <w:b/>
          <w:bCs/>
          <w:color w:val="1B2118"/>
          <w:sz w:val="21"/>
          <w:szCs w:val="21"/>
        </w:rPr>
        <w:t xml:space="preserve">Applica a tutti gli anni</w:t>
      </w:r>
      <w:r>
        <w:rPr>
          <w:rFonts w:ascii="Arial" w:cs="Arial" w:eastAsia="Arial" w:hAnsi="Arial"/>
          <w:color w:val="1B2118"/>
          <w:sz w:val="21"/>
          <w:szCs w:val="21"/>
        </w:rPr>
        <w:t xml:space="preserve">; correggete poi i singoli anni. Poi il simulatore chiede: </w:t>
      </w:r>
      <w:r>
        <w:rPr>
          <w:rFonts w:ascii="Arial" w:cs="Arial" w:eastAsia="Arial" w:hAnsi="Arial"/>
          <w:b/>
          <w:bCs/>
          <w:color w:val="1B2118"/>
          <w:sz w:val="21"/>
          <w:szCs w:val="21"/>
        </w:rPr>
        <w:t xml:space="preserve">«Simulare i costi in base al Caso 1 o al Caso 2?»</w:t>
      </w:r>
      <w:r>
        <w:rPr>
          <w:rFonts w:ascii="Arial" w:cs="Arial" w:eastAsia="Arial" w:hAnsi="Arial"/>
          <w:color w:val="1B2118"/>
          <w:sz w:val="21"/>
          <w:szCs w:val="21"/>
        </w:rPr>
        <w:t xml:space="preserve">. Sono le tabelle «Costi per il Soggetto Promotore» di Fondazione Operate (28/07/2026), IVA esclusa, per progetti di 10 anni:</w:t>
      </w:r>
    </w:p>
    <w:p>
      <w:pPr>
        <w:pStyle w:val="ListParagraph"/>
        <w:numPr>
          <w:ilvl w:val="0"/>
          <w:numId w:val="2"/>
        </w:numPr>
        <w:spacing w:after="70" w:line="290"/>
      </w:pP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il Comune o il gestore aderisce di propria iniziativa;</w:t>
      </w:r>
    </w:p>
    <w:p>
      <w:pPr>
        <w:pStyle w:val="ListParagraph"/>
        <w:numPr>
          <w:ilvl w:val="0"/>
          <w:numId w:val="2"/>
        </w:numPr>
        <w:spacing w:after="70" w:line="290"/>
      </w:pPr>
      <w:r>
        <w:rPr>
          <w:rFonts w:ascii="Arial" w:cs="Arial" w:eastAsia="Arial" w:hAnsi="Arial"/>
          <w:b/>
          <w:bCs/>
          <w:color w:val="1B2118"/>
          <w:sz w:val="21"/>
          <w:szCs w:val="21"/>
        </w:rPr>
        <w:t xml:space="preserve">Caso 2 – Progetto obbligatorio</w:t>
      </w:r>
      <w:r>
        <w:rPr>
          <w:rFonts w:ascii="Arial" w:cs="Arial" w:eastAsia="Arial" w:hAnsi="Arial"/>
          <w:color w:val="1B2118"/>
          <w:sz w:val="21"/>
          <w:szCs w:val="21"/>
        </w:rPr>
        <w:t xml:space="preserve">: il progetto arriva da un bando di gara di un Comune che ha inserito il CWP come metodo; le tariffe sono più alte.</w:t>
      </w:r>
    </w:p>
    <w:p>
      <w:pPr>
        <w:spacing w:after="140" w:line="300"/>
      </w:pPr>
      <w:r>
        <w:rPr>
          <w:rFonts w:ascii="Arial" w:cs="Arial" w:eastAsia="Arial" w:hAnsi="Arial"/>
          <w:color w:val="1B2118"/>
          <w:sz w:val="21"/>
          <w:szCs w:val="21"/>
        </w:rPr>
        <w:t xml:space="preserve">Per ogni attività (Progetto, Rapporto di Monitoraggio, registrazione del Progetto, dei crediti del Progetto, del Rapporto e dei crediti del Rapporto) il portale calcola il costo per abitante in base alla popolazione: valori fissi fino a 5.000 abitanti e oltre 100.000, </w:t>
      </w:r>
      <w:r>
        <w:rPr>
          <w:rFonts w:ascii="Arial" w:cs="Arial" w:eastAsia="Arial" w:hAnsi="Arial"/>
          <w:b/>
          <w:bCs/>
          <w:color w:val="1B2118"/>
          <w:sz w:val="21"/>
          <w:szCs w:val="21"/>
        </w:rPr>
        <w:t xml:space="preserve">interpolati</w:t>
      </w:r>
      <w:r>
        <w:rPr>
          <w:rFonts w:ascii="Arial" w:cs="Arial" w:eastAsia="Arial" w:hAnsi="Arial"/>
          <w:color w:val="1B2118"/>
          <w:sz w:val="21"/>
          <w:szCs w:val="21"/>
        </w:rPr>
        <w:t xml:space="preserve"> tra 5.000 e 20.000 e tra 20.000 e 100.000 abitanti, arrotondati per eccesso al centesimo. Il costo annuo è il costo per abitante × la popolazione, mai sotto il </w:t>
      </w:r>
      <w:r>
        <w:rPr>
          <w:rFonts w:ascii="Arial" w:cs="Arial" w:eastAsia="Arial" w:hAnsi="Arial"/>
          <w:b/>
          <w:bCs/>
          <w:color w:val="1B2118"/>
          <w:sz w:val="21"/>
          <w:szCs w:val="21"/>
        </w:rPr>
        <w:t xml:space="preserve">minimo</w:t>
      </w:r>
      <w:r>
        <w:rPr>
          <w:rFonts w:ascii="Arial" w:cs="Arial" w:eastAsia="Arial" w:hAnsi="Arial"/>
          <w:color w:val="1B2118"/>
          <w:sz w:val="21"/>
          <w:szCs w:val="21"/>
        </w:rPr>
        <w:t xml:space="preserve"> né sopra il </w:t>
      </w:r>
      <w:r>
        <w:rPr>
          <w:rFonts w:ascii="Arial" w:cs="Arial" w:eastAsia="Arial" w:hAnsi="Arial"/>
          <w:b/>
          <w:bCs/>
          <w:color w:val="1B2118"/>
          <w:sz w:val="21"/>
          <w:szCs w:val="21"/>
        </w:rPr>
        <w:t xml:space="preserve">massimo</w:t>
      </w:r>
      <w:r>
        <w:rPr>
          <w:rFonts w:ascii="Arial" w:cs="Arial" w:eastAsia="Arial" w:hAnsi="Arial"/>
          <w:color w:val="1B2118"/>
          <w:sz w:val="21"/>
          <w:szCs w:val="21"/>
        </w:rPr>
        <w:t xml:space="preserve"> annuo della tabella. Le voci </w:t>
      </w:r>
      <w:r>
        <w:rPr>
          <w:rFonts w:ascii="Arial" w:cs="Arial" w:eastAsia="Arial" w:hAnsi="Arial"/>
          <w:b/>
          <w:bCs/>
          <w:color w:val="1B2118"/>
          <w:sz w:val="21"/>
          <w:szCs w:val="21"/>
        </w:rPr>
        <w:t xml:space="preserve">una tantum</w:t>
      </w:r>
      <w:r>
        <w:rPr>
          <w:rFonts w:ascii="Arial" w:cs="Arial" w:eastAsia="Arial" w:hAnsi="Arial"/>
          <w:color w:val="1B2118"/>
          <w:sz w:val="21"/>
          <w:szCs w:val="21"/>
        </w:rPr>
        <w:t xml:space="preserve"> (Progetto, Registrazione Progetto, Registrazione Crediti Progetto) sono un corrispettivo unico e forfettario pagato in </w:t>
      </w:r>
      <w:r>
        <w:rPr>
          <w:rFonts w:ascii="Arial" w:cs="Arial" w:eastAsia="Arial" w:hAnsi="Arial"/>
          <w:b/>
          <w:bCs/>
          <w:color w:val="1B2118"/>
          <w:sz w:val="21"/>
          <w:szCs w:val="21"/>
        </w:rPr>
        <w:t xml:space="preserve">10 rate annuali</w:t>
      </w:r>
      <w:r>
        <w:rPr>
          <w:rFonts w:ascii="Arial" w:cs="Arial" w:eastAsia="Arial" w:hAnsi="Arial"/>
          <w:color w:val="1B2118"/>
          <w:sz w:val="21"/>
          <w:szCs w:val="21"/>
        </w:rPr>
        <w:t xml:space="preserve"> uguali (contratti di consulenza e di partecipazione): l'importo in tabella è la rata annua e la nota sotto la tabella lo spiega, anche nel PDF e nell'Excel. Una tabella mostra le sei voci con € per abitante, € all'anno e il totale annuo. Le tabelle non comprendono la validazione dell'ente. Per progetti di durata diversa da 10 anni la regola non è ancora stabilita: compaiono il riquadro rosso </w:t>
      </w:r>
      <w:r>
        <w:rPr>
          <w:rFonts w:ascii="Arial" w:cs="Arial" w:eastAsia="Arial" w:hAnsi="Arial"/>
          <w:b/>
          <w:bCs/>
          <w:color w:val="1B2118"/>
          <w:sz w:val="21"/>
          <w:szCs w:val="21"/>
        </w:rPr>
        <w:t xml:space="preserve">Stima, non listino approvato</w:t>
      </w:r>
      <w:r>
        <w:rPr>
          <w:rFonts w:ascii="Arial" w:cs="Arial" w:eastAsia="Arial" w:hAnsi="Arial"/>
          <w:color w:val="1B2118"/>
          <w:sz w:val="21"/>
          <w:szCs w:val="21"/>
        </w:rPr>
        <w:t xml:space="preserve">, l'avviso e la casella «Costi per il Comune nel periodo (stima)»; nel PDF e nell'Excel la riga «ATTENZIONE» sopra la tabella annuale.</w:t>
      </w:r>
    </w:p>
    <w:p>
      <w:pPr>
        <w:spacing w:after="140" w:line="300"/>
      </w:pPr>
      <w:r>
        <w:rPr>
          <w:rFonts w:ascii="Arial" w:cs="Arial" w:eastAsia="Arial" w:hAnsi="Arial"/>
          <w:color w:val="1B2118"/>
          <w:sz w:val="21"/>
          <w:szCs w:val="21"/>
        </w:rPr>
        <w:t xml:space="preserve">In alternativa si può scegliere lo </w:t>
      </w:r>
      <w:r>
        <w:rPr>
          <w:rFonts w:ascii="Arial" w:cs="Arial" w:eastAsia="Arial" w:hAnsi="Arial"/>
          <w:b/>
          <w:bCs/>
          <w:color w:val="1B2118"/>
          <w:sz w:val="21"/>
          <w:szCs w:val="21"/>
        </w:rPr>
        <w:t xml:space="preserve">Schema tariffario</w:t>
      </w:r>
      <w:r>
        <w:rPr>
          <w:rFonts w:ascii="Arial" w:cs="Arial" w:eastAsia="Arial" w:hAnsi="Arial"/>
          <w:color w:val="1B2118"/>
          <w:sz w:val="21"/>
          <w:szCs w:val="21"/>
        </w:rPr>
        <w:t xml:space="preserve"> (tariffe massime pubblicate) o </w:t>
      </w:r>
      <w:r>
        <w:rPr>
          <w:rFonts w:ascii="Arial" w:cs="Arial" w:eastAsia="Arial" w:hAnsi="Arial"/>
          <w:b/>
          <w:bCs/>
          <w:color w:val="1B2118"/>
          <w:sz w:val="21"/>
          <w:szCs w:val="21"/>
        </w:rPr>
        <w:t xml:space="preserve">nessuna tariffa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In tutti i casi potete aggiungere il costo dell'ente di validazione (una tantum), della verifica annuale e altri costi annui. Per ogni anno compaiono crediti, valore, ricavi, partecipazione al Programma (registrazioni), consulenza (redazione di Progetto e Rapporto), ente, altri costi, costi totali, margine e cumulato; in alto ricavi, costi, margine netto con l'anno di rientro e </w:t>
      </w:r>
      <w:r>
        <w:rPr>
          <w:rFonts w:ascii="Arial" w:cs="Arial" w:eastAsia="Arial" w:hAnsi="Arial"/>
          <w:b/>
          <w:bCs/>
          <w:color w:val="1B2118"/>
          <w:sz w:val="21"/>
          <w:szCs w:val="21"/>
        </w:rPr>
        <w:t xml:space="preserve">costo e ricavo per abitante</w:t>
      </w:r>
      <w:r>
        <w:rPr>
          <w:rFonts w:ascii="Arial" w:cs="Arial" w:eastAsia="Arial" w:hAnsi="Arial"/>
          <w:color w:val="1B2118"/>
          <w:sz w:val="21"/>
          <w:szCs w:val="21"/>
        </w:rPr>
        <w:t xml:space="preserve"> nel periodo. È una stima indicativa, non un piano finanziario.</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il Caso 1 e 154.247 abitanti il simulatore riproduce le cifre dei contratti tipo EsaCom. Il simulatore stima meno crediti per abitante dell'Allegato A del contratto EsaCom, perché lavora sui totali del Comune e non per singola utenza: il metodo di stima va allineato.</w:t>
      </w:r>
    </w:p>
    <w:p>
      <w:pPr>
        <w:spacing w:after="120"/>
      </w:pPr>
    </w:p>
    <w:p>
      <w:pPr>
        <w:spacing w:after="140" w:line="300"/>
      </w:pPr>
      <w:r>
        <w:rPr>
          <w:rFonts w:ascii="Arial" w:cs="Arial" w:eastAsia="Arial" w:hAnsi="Arial"/>
          <w:b/>
          <w:bCs/>
          <w:color w:val="1B2118"/>
          <w:sz w:val="21"/>
          <w:szCs w:val="21"/>
        </w:rPr>
        <w:t xml:space="preserve">Come stima i crediti.</w:t>
      </w:r>
      <w:r>
        <w:rPr>
          <w:rFonts w:ascii="Arial" w:cs="Arial" w:eastAsia="Arial" w:hAnsi="Arial"/>
          <w:color w:val="1B2118"/>
          <w:sz w:val="21"/>
          <w:szCs w:val="21"/>
        </w:rPr>
        <w:t xml:space="preserve"> Il simulatore usa le formule della Metodologia CWP v1.2 a livello di Comune: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367"/>
      </w:tblGrid>
      <w:tr>
        <w:trPr>
          <w:tblHeader/>
        </w:trPr>
        <w:tc>
          <w:tcPr>
            <w:tcW w:type="dxa" w:w="22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36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Come si calcola</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 capite dell'anno di riferimento (o del cluster), per tipologia, × popolazione dell'anno</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simulato</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obiettivo + differenziata (totale − secco) ripartita con le proporzioni del riferimento</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Σ quantità × fattore di emissione (formule 13 e 25); per il secco la media dei fattori della differenziata (formule 16-17)</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Lordi = riduzione delle emissioni rispetto al riferimento; netti = lordi × (1 − buffer)</w:t>
            </w:r>
          </w:p>
        </w:tc>
      </w:tr>
    </w:tbl>
    <w:p>
      <w:pPr>
        <w:spacing w:after="160"/>
      </w:pP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queste formule i crediti nascono dai </w:t>
      </w:r>
      <w:r>
        <w:rPr>
          <w:rFonts w:ascii="Arial" w:cs="Arial" w:eastAsia="Arial" w:hAnsi="Arial"/>
          <w:b/>
          <w:bCs/>
          <w:color w:val="1B2118"/>
          <w:sz w:val="21"/>
          <w:szCs w:val="21"/>
        </w:rPr>
        <w:t xml:space="preserve">rifiuti evitati</w:t>
      </w:r>
      <w:r>
        <w:rPr>
          <w:rFonts w:ascii="Arial" w:cs="Arial" w:eastAsia="Arial" w:hAnsi="Arial"/>
          <w:color w:val="1B2118"/>
          <w:sz w:val="21"/>
          <w:szCs w:val="21"/>
        </w:rPr>
        <w:t xml:space="preserve">, cioè prodotti in meno rispetto allo scenario di riferimento: il riquadro </w:t>
      </w:r>
      <w:r>
        <w:rPr>
          <w:rFonts w:ascii="Arial" w:cs="Arial" w:eastAsia="Arial" w:hAnsi="Arial"/>
          <w:i/>
          <w:iCs/>
          <w:color w:val="1B2118"/>
          <w:sz w:val="21"/>
          <w:szCs w:val="21"/>
        </w:rPr>
        <w:t xml:space="preserve">Da dove vengono i crediti</w:t>
      </w:r>
      <w:r>
        <w:rPr>
          <w:rFonts w:ascii="Arial" w:cs="Arial" w:eastAsia="Arial" w:hAnsi="Arial"/>
          <w:color w:val="1B2118"/>
          <w:sz w:val="21"/>
          <w:szCs w:val="21"/>
        </w:rPr>
        <w:t xml:space="preserve"> indica quante tCO₂eq vale una tonnellata in meno per quel Comune. Spostare rifiuti dal secco alla differenziata alza la percentuale di raccolta differenziata ma, a parità di produzione totale, non genera crediti. Il modello semplificato va confermato dalla Fondazione.</w:t>
      </w:r>
    </w:p>
    <w:p>
      <w:pPr>
        <w:spacing w:after="120"/>
      </w:pPr>
    </w:p>
    <w:p>
      <w:pPr>
        <w:spacing w:after="140" w:line="300"/>
      </w:pPr>
      <w:r>
        <w:rPr>
          <w:rFonts w:ascii="Arial" w:cs="Arial" w:eastAsia="Arial" w:hAnsi="Arial"/>
          <w:b/>
          <w:bCs/>
          <w:color w:val="1B2118"/>
          <w:sz w:val="21"/>
          <w:szCs w:val="21"/>
        </w:rPr>
        <w:t xml:space="preserve">Conformità al modello CWP.</w:t>
      </w:r>
      <w:r>
        <w:rPr>
          <w:rFonts w:ascii="Arial" w:cs="Arial" w:eastAsia="Arial" w:hAnsi="Arial"/>
          <w:color w:val="1B2118"/>
          <w:sz w:val="21"/>
          <w:szCs w:val="21"/>
        </w:rPr>
        <w:t xml:space="preserve"> La stima ex ante a livello di Comune è ammessa dalla Metodologia (Capitolo 6.1, valori medi su tutte le utenze; Capitolo 6.2, emissioni di progetto ex ante «complessivamente a livello di Ente»). Il simulatore segue lo Standard per la durata (4.3.8), lo scenario di riferimento (4.8.1) e l'addizionalità (4.9.1), e la Metodologia per fattori di emissione (Tabelle 3-4), fattore del secco (formule 16-17), variazione di impatto e buffer (formule 31-32, Capitolo 7). I beni a riuso valgono zero, come chiede la Metodologia per la stima ex ante (Capitolo 6.1), e non ci sono perdite (leakage, Capitolo 6.3). Non sono considerati il primo anno parziale (formula 1) e la componente trasporto (Capitolo 9). Il calcolo per singola utenza resta quello ex post.</w:t>
      </w:r>
    </w:p>
    <w:p>
      <w:pPr>
        <w:spacing w:after="140" w:line="300"/>
      </w:pPr>
      <w:r>
        <w:rPr>
          <w:rFonts w:ascii="Arial" w:cs="Arial" w:eastAsia="Arial" w:hAnsi="Arial"/>
          <w:color w:val="1B2118"/>
          <w:sz w:val="21"/>
          <w:szCs w:val="21"/>
        </w:rPr>
        <w:t xml:space="preserve">Ogni creazione, modifica e cancellazione di uno scenario è registrata nell'audit. I Comuni non vedono gli scenari.</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Crediti emessi</w:t>
      </w:r>
      <w:bookmarkEnd w:id="1"/>
    </w:p>
    <w:p>
      <w:pPr>
        <w:spacing w:after="140" w:line="300"/>
      </w:pPr>
      <w:r>
        <w:rPr>
          <w:rFonts w:ascii="Arial" w:cs="Arial" w:eastAsia="Arial" w:hAnsi="Arial"/>
          <w:color w:val="1B2118"/>
          <w:sz w:val="21"/>
          <w:szCs w:val="21"/>
        </w:rPr>
        <w:t xml:space="preserve">Dopo la registrazione di un Rapporto di Monitoraggio la Fondazione emette i crediti, con un </w:t>
      </w:r>
      <w:r>
        <w:rPr>
          <w:rFonts w:ascii="Arial" w:cs="Arial" w:eastAsia="Arial" w:hAnsi="Arial"/>
          <w:b/>
          <w:bCs/>
          <w:color w:val="1B2118"/>
          <w:sz w:val="21"/>
          <w:szCs w:val="21"/>
        </w:rPr>
        <w:t xml:space="preserve">ID univoco per ogni credito</w:t>
      </w:r>
      <w:r>
        <w:rPr>
          <w:rFonts w:ascii="Arial" w:cs="Arial" w:eastAsia="Arial" w:hAnsi="Arial"/>
          <w:color w:val="1B2118"/>
          <w:sz w:val="21"/>
          <w:szCs w:val="21"/>
        </w:rPr>
        <w:t xml:space="preserve"> (Guida 6.3.2 e 6.3.3, Tabella 5; Standard 6.2). I crediti si seguono nel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Rapporto e nella pagina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menu.</w:t>
      </w:r>
    </w:p>
    <w:p>
      <w:pPr>
        <w:spacing w:after="140" w:line="300"/>
      </w:pPr>
      <w:r>
        <w:rPr>
          <w:rFonts w:ascii="Arial" w:cs="Arial" w:eastAsia="Arial" w:hAnsi="Arial"/>
          <w:b/>
          <w:bCs/>
          <w:color w:val="1B2118"/>
          <w:sz w:val="21"/>
          <w:szCs w:val="21"/>
        </w:rPr>
        <w:t xml:space="preserve">Emettere i crediti (solo Amministratori)</w:t>
      </w:r>
    </w:p>
    <w:p>
      <w:pPr>
        <w:spacing w:after="140" w:line="300"/>
      </w:pPr>
      <w:r>
        <w:rPr>
          <w:rFonts w:ascii="Arial" w:cs="Arial" w:eastAsia="Arial" w:hAnsi="Arial"/>
          <w:color w:val="1B2118"/>
          <w:sz w:val="21"/>
          <w:szCs w:val="21"/>
        </w:rPr>
        <w:t xml:space="preserve">L'emissione è possibile solo se il Rapporto è registrato (fase 6 </w:t>
      </w:r>
      <w:r>
        <w:rPr>
          <w:rFonts w:ascii="Arial" w:cs="Arial" w:eastAsia="Arial" w:hAnsi="Arial"/>
          <w:i/>
          <w:iCs/>
          <w:color w:val="1B2118"/>
          <w:sz w:val="21"/>
          <w:szCs w:val="21"/>
        </w:rPr>
        <w:t xml:space="preserve">Seconda verifica documentale</w:t>
      </w:r>
      <w:r>
        <w:rPr>
          <w:rFonts w:ascii="Arial" w:cs="Arial" w:eastAsia="Arial" w:hAnsi="Arial"/>
          <w:color w:val="1B2118"/>
          <w:sz w:val="21"/>
          <w:szCs w:val="21"/>
        </w:rPr>
        <w:t xml:space="preserve"> completata) e se Rapporto e Progetto non sono sospesi, annullati o ritirati. Prima della registrazione il riquadro spiega che i crediti si emettono dopo la seconda verifica documentale.</w:t>
      </w:r>
    </w:p>
    <w:p>
      <w:pPr>
        <w:pStyle w:val="ListParagraph"/>
        <w:numPr>
          <w:ilvl w:val="0"/>
          <w:numId w:val="36"/>
        </w:numPr>
        <w:spacing w:after="70" w:line="290"/>
      </w:pPr>
      <w:r>
        <w:rPr>
          <w:rFonts w:ascii="Arial" w:cs="Arial" w:eastAsia="Arial" w:hAnsi="Arial"/>
          <w:color w:val="1B2118"/>
          <w:sz w:val="21"/>
          <w:szCs w:val="21"/>
        </w:rPr>
        <w:t xml:space="preserve">Nel Rapporto,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Emetti crediti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Se c'è, scegliete il </w:t>
      </w:r>
      <w:r>
        <w:rPr>
          <w:rFonts w:ascii="Arial" w:cs="Arial" w:eastAsia="Arial" w:hAnsi="Arial"/>
          <w:b/>
          <w:bCs/>
          <w:color w:val="1B2118"/>
          <w:sz w:val="21"/>
          <w:szCs w:val="21"/>
        </w:rPr>
        <w:t xml:space="preserve">Calcolo ex post confermato (facoltativo)</w:t>
      </w:r>
      <w:r>
        <w:rPr>
          <w:rFonts w:ascii="Arial" w:cs="Arial" w:eastAsia="Arial" w:hAnsi="Arial"/>
          <w:color w:val="1B2118"/>
          <w:sz w:val="21"/>
          <w:szCs w:val="21"/>
        </w:rPr>
        <w:t xml:space="preserve"> del Rapporto o del suo Progetto: il totale emesso con quel calcolo non può superare i suoi crediti netti.</w:t>
      </w:r>
    </w:p>
    <w:p>
      <w:pPr>
        <w:pStyle w:val="ListParagraph"/>
        <w:numPr>
          <w:ilvl w:val="0"/>
          <w:numId w:val="36"/>
        </w:numPr>
        <w:spacing w:after="70" w:line="290"/>
      </w:pPr>
      <w:r>
        <w:rPr>
          <w:rFonts w:ascii="Arial" w:cs="Arial" w:eastAsia="Arial" w:hAnsi="Arial"/>
          <w:color w:val="1B2118"/>
          <w:sz w:val="21"/>
          <w:szCs w:val="21"/>
        </w:rPr>
        <w:t xml:space="preserve">Scrivete i </w:t>
      </w:r>
      <w:r>
        <w:rPr>
          <w:rFonts w:ascii="Arial" w:cs="Arial" w:eastAsia="Arial" w:hAnsi="Arial"/>
          <w:b/>
          <w:bCs/>
          <w:color w:val="1B2118"/>
          <w:sz w:val="21"/>
          <w:szCs w:val="21"/>
        </w:rPr>
        <w:t xml:space="preserve">Crediti da emettere (tCO₂eq)</w:t>
      </w:r>
      <w:r>
        <w:rPr>
          <w:rFonts w:ascii="Arial" w:cs="Arial" w:eastAsia="Arial" w:hAnsi="Arial"/>
          <w:color w:val="1B2118"/>
          <w:sz w:val="21"/>
          <w:szCs w:val="21"/>
        </w:rPr>
        <w:t xml:space="preserve"> e, nelle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ad esempio gli estremi del Rapporto di verifica e della Dichiarazione dell'ente.</w:t>
      </w:r>
    </w:p>
    <w:p>
      <w:pPr>
        <w:pStyle w:val="ListParagraph"/>
        <w:numPr>
          <w:ilvl w:val="0"/>
          <w:numId w:val="36"/>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emissione</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con l'importo a scaglioni e scadenza a 30 giorni.</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Emetti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Nasce un </w:t>
      </w:r>
      <w:r>
        <w:rPr>
          <w:rFonts w:ascii="Arial" w:cs="Arial" w:eastAsia="Arial" w:hAnsi="Arial"/>
          <w:b/>
          <w:bCs/>
          <w:color w:val="1B2118"/>
          <w:sz w:val="21"/>
          <w:szCs w:val="21"/>
        </w:rPr>
        <w:t xml:space="preserve">lotto</w:t>
      </w:r>
      <w:r>
        <w:rPr>
          <w:rFonts w:ascii="Arial" w:cs="Arial" w:eastAsia="Arial" w:hAnsi="Arial"/>
          <w:color w:val="1B2118"/>
          <w:sz w:val="21"/>
          <w:szCs w:val="21"/>
        </w:rPr>
        <w:t xml:space="preserve"> con codice </w:t>
      </w:r>
      <w:r>
        <w:rPr>
          <w:rFonts w:ascii="Consolas" w:cs="Consolas" w:eastAsia="Consolas" w:hAnsi="Consolas"/>
          <w:color w:val="2F5D3A"/>
          <w:sz w:val="21"/>
          <w:szCs w:val="21"/>
        </w:rPr>
        <w:t xml:space="preserve">&lt;codice Rapporto&gt;-L1</w:t>
      </w:r>
      <w:r>
        <w:rPr>
          <w:rFonts w:ascii="Arial" w:cs="Arial" w:eastAsia="Arial" w:hAnsi="Arial"/>
          <w:color w:val="1B2118"/>
          <w:sz w:val="21"/>
          <w:szCs w:val="21"/>
        </w:rPr>
        <w:t xml:space="preserve"> (poi L2, L3…) e ogni credito ha l'ID </w:t>
      </w:r>
      <w:r>
        <w:rPr>
          <w:rFonts w:ascii="Consolas" w:cs="Consolas" w:eastAsia="Consolas" w:hAnsi="Consolas"/>
          <w:color w:val="2F5D3A"/>
          <w:sz w:val="21"/>
          <w:szCs w:val="21"/>
        </w:rPr>
        <w:t xml:space="preserve">&lt;codice lotto&gt;-000001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-000002</w:t>
      </w:r>
      <w:r>
        <w:rPr>
          <w:rFonts w:ascii="Arial" w:cs="Arial" w:eastAsia="Arial" w:hAnsi="Arial"/>
          <w:color w:val="1B2118"/>
          <w:sz w:val="21"/>
          <w:szCs w:val="21"/>
        </w:rPr>
        <w:t xml:space="preserve"> e così via (es. </w:t>
      </w:r>
      <w:r>
        <w:rPr>
          <w:rFonts w:ascii="Consolas" w:cs="Consolas" w:eastAsia="Consolas" w:hAnsi="Consolas"/>
          <w:color w:val="2F5D3A"/>
          <w:sz w:val="21"/>
          <w:szCs w:val="21"/>
        </w:rPr>
        <w:t xml:space="preserve">CWP-2026-0001-RM1-L1-000001</w:t>
      </w:r>
      <w:r>
        <w:rPr>
          <w:rFonts w:ascii="Arial" w:cs="Arial" w:eastAsia="Arial" w:hAnsi="Arial"/>
          <w:color w:val="1B2118"/>
          <w:sz w:val="21"/>
          <w:szCs w:val="21"/>
        </w:rPr>
        <w:t xml:space="preserve">). Il lotto mostra quantità, data di emissione e ID dal primo all'ultimo. Il Comune riceve la notifica «Crediti emessi» e vede i propri crediti in sola lettura.</w:t>
      </w:r>
    </w:p>
    <w:p>
      <w:pPr>
        <w:spacing w:after="140" w:line="300"/>
      </w:pPr>
      <w:r>
        <w:rPr>
          <w:rFonts w:ascii="Arial" w:cs="Arial" w:eastAsia="Arial" w:hAnsi="Arial"/>
          <w:b/>
          <w:bCs/>
          <w:color w:val="1B2118"/>
          <w:sz w:val="21"/>
          <w:szCs w:val="21"/>
        </w:rPr>
        <w:t xml:space="preserve">Caricare i crediti sul registro (staff)</w:t>
      </w:r>
    </w:p>
    <w:p>
      <w:pPr>
        <w:pStyle w:val="ListParagraph"/>
        <w:numPr>
          <w:ilvl w:val="0"/>
          <w:numId w:val="37"/>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Carica sul registro</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Registro scelto dal promotore</w:t>
      </w:r>
      <w:r>
        <w:rPr>
          <w:rFonts w:ascii="Arial" w:cs="Arial" w:eastAsia="Arial" w:hAnsi="Arial"/>
          <w:color w:val="1B2118"/>
          <w:sz w:val="21"/>
          <w:szCs w:val="21"/>
        </w:rPr>
        <w:t xml:space="preserve"> (tra i registri attivi delle Anagrafiche)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una vendita (staff)</w:t>
      </w:r>
    </w:p>
    <w:p>
      <w:pPr>
        <w:spacing w:after="140" w:line="300"/>
      </w:pPr>
      <w:r>
        <w:rPr>
          <w:rFonts w:ascii="Arial" w:cs="Arial" w:eastAsia="Arial" w:hAnsi="Arial"/>
          <w:color w:val="1B2118"/>
          <w:sz w:val="21"/>
          <w:szCs w:val="21"/>
        </w:rPr>
        <w:t xml:space="preserve">Quando il registro comunica una vendita (</w:t>
      </w:r>
      <w:r>
        <w:rPr>
          <w:rFonts w:ascii="Arial" w:cs="Arial" w:eastAsia="Arial" w:hAnsi="Arial"/>
          <w:i/>
          <w:iCs/>
          <w:color w:val="1B2118"/>
          <w:sz w:val="21"/>
          <w:szCs w:val="21"/>
        </w:rPr>
        <w:t xml:space="preserve">Comunicazione di vendita dei crediti</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Caricate, se c'è, la comunicazione tra i documenti del Rapporto.</w:t>
      </w:r>
    </w:p>
    <w:p>
      <w:pPr>
        <w:pStyle w:val="ListParagraph"/>
        <w:numPr>
          <w:ilvl w:val="0"/>
          <w:numId w:val="38"/>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Registra una vendita (N disponibili)</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Crediti venduti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Beneficiario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Obiettivo di compensazione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Valore di vendita (€)</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 e, facoltativa, la </w:t>
      </w:r>
      <w:r>
        <w:rPr>
          <w:rFonts w:ascii="Arial" w:cs="Arial" w:eastAsia="Arial" w:hAnsi="Arial"/>
          <w:b/>
          <w:bCs/>
          <w:color w:val="1B2118"/>
          <w:sz w:val="21"/>
          <w:szCs w:val="21"/>
        </w:rPr>
        <w:t xml:space="preserve">Comunicazione di vendita (documento del Rapporto)</w:t>
      </w:r>
      <w:r>
        <w:rPr>
          <w:rFonts w:ascii="Arial" w:cs="Arial" w:eastAsia="Arial" w:hAnsi="Arial"/>
          <w:color w:val="1B2118"/>
          <w:sz w:val="21"/>
          <w:szCs w:val="21"/>
        </w:rPr>
        <w:t xml:space="preserve">, che diventa pubblica.</w:t>
      </w:r>
    </w:p>
    <w:p>
      <w:pPr>
        <w:pStyle w:val="ListParagraph"/>
        <w:numPr>
          <w:ilvl w:val="0"/>
          <w:numId w:val="38"/>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vendita</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(20% del valore, con il minimo dello Schema tariffario).</w:t>
      </w:r>
    </w:p>
    <w:p>
      <w:pPr>
        <w:pStyle w:val="ListParagraph"/>
        <w:numPr>
          <w:ilvl w:val="0"/>
          <w:numId w:val="3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Gli ID dei crediti venduti seguono quelli già venduti; non si possono vendere più crediti di quelli del lotto, e solo dopo il caricamento sul registro.</w:t>
      </w:r>
    </w:p>
    <w:p>
      <w:pPr>
        <w:spacing w:after="140" w:line="300"/>
      </w:pPr>
      <w:r>
        <w:rPr>
          <w:rFonts w:ascii="Arial" w:cs="Arial" w:eastAsia="Arial" w:hAnsi="Arial"/>
          <w:b/>
          <w:bCs/>
          <w:color w:val="1B2118"/>
          <w:sz w:val="21"/>
          <w:szCs w:val="21"/>
        </w:rPr>
        <w:t xml:space="preserve">Registrare la cancellazione (staff)</w:t>
      </w:r>
    </w:p>
    <w:p>
      <w:pPr>
        <w:spacing w:after="140" w:line="300"/>
      </w:pPr>
      <w:r>
        <w:rPr>
          <w:rFonts w:ascii="Arial" w:cs="Arial" w:eastAsia="Arial" w:hAnsi="Arial"/>
          <w:color w:val="1B2118"/>
          <w:sz w:val="21"/>
          <w:szCs w:val="21"/>
        </w:rPr>
        <w:t xml:space="preserve">Il registro deve inviare la </w:t>
      </w:r>
      <w:r>
        <w:rPr>
          <w:rFonts w:ascii="Arial" w:cs="Arial" w:eastAsia="Arial" w:hAnsi="Arial"/>
          <w:i/>
          <w:iCs/>
          <w:color w:val="1B2118"/>
          <w:sz w:val="21"/>
          <w:szCs w:val="21"/>
        </w:rPr>
        <w:t xml:space="preserve">Dichiarazione di cancellazione tombale dei crediti</w:t>
      </w:r>
      <w:r>
        <w:rPr>
          <w:rFonts w:ascii="Arial" w:cs="Arial" w:eastAsia="Arial" w:hAnsi="Arial"/>
          <w:color w:val="1B2118"/>
          <w:sz w:val="21"/>
          <w:szCs w:val="21"/>
        </w:rPr>
        <w:t xml:space="preserve"> entro 10 giorni dalla vendita.</w:t>
      </w:r>
    </w:p>
    <w:p>
      <w:pPr>
        <w:pStyle w:val="ListParagraph"/>
        <w:numPr>
          <w:ilvl w:val="0"/>
          <w:numId w:val="39"/>
        </w:numPr>
        <w:spacing w:after="70" w:line="290"/>
      </w:pPr>
      <w:r>
        <w:rPr>
          <w:rFonts w:ascii="Arial" w:cs="Arial" w:eastAsia="Arial" w:hAnsi="Arial"/>
          <w:color w:val="1B2118"/>
          <w:sz w:val="21"/>
          <w:szCs w:val="21"/>
        </w:rPr>
        <w:t xml:space="preserve">Caricate la dichiarazione tra i documenti del Rapporto (è obbligatoria).</w:t>
      </w:r>
    </w:p>
    <w:p>
      <w:pPr>
        <w:pStyle w:val="ListParagraph"/>
        <w:numPr>
          <w:ilvl w:val="0"/>
          <w:numId w:val="39"/>
        </w:numPr>
        <w:spacing w:after="70" w:line="290"/>
      </w:pPr>
      <w:r>
        <w:rPr>
          <w:rFonts w:ascii="Arial" w:cs="Arial" w:eastAsia="Arial" w:hAnsi="Arial"/>
          <w:color w:val="1B2118"/>
          <w:sz w:val="21"/>
          <w:szCs w:val="21"/>
        </w:rPr>
        <w:t xml:space="preserve">Sulla vendita premete </w:t>
      </w:r>
      <w:r>
        <w:rPr>
          <w:rFonts w:ascii="Arial" w:cs="Arial" w:eastAsia="Arial" w:hAnsi="Arial"/>
          <w:b/>
          <w:bCs/>
          <w:color w:val="1B2118"/>
          <w:sz w:val="21"/>
          <w:szCs w:val="21"/>
        </w:rPr>
        <w:t xml:space="preserve">Registra la cancellazione</w:t>
      </w:r>
      <w:r>
        <w:rPr>
          <w:rFonts w:ascii="Arial" w:cs="Arial" w:eastAsia="Arial" w:hAnsi="Arial"/>
          <w:color w:val="1B2118"/>
          <w:sz w:val="21"/>
          <w:szCs w:val="21"/>
        </w:rPr>
        <w:t xml:space="preserve">, scegliete la </w:t>
      </w:r>
      <w:r>
        <w:rPr>
          <w:rFonts w:ascii="Arial" w:cs="Arial" w:eastAsia="Arial" w:hAnsi="Arial"/>
          <w:b/>
          <w:bCs/>
          <w:color w:val="1B2118"/>
          <w:sz w:val="21"/>
          <w:szCs w:val="21"/>
        </w:rPr>
        <w:t xml:space="preserve">Dichiarazione di cancellazione tombale</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i crediti venduti passano a </w:t>
      </w:r>
      <w:r>
        <w:rPr>
          <w:rFonts w:ascii="Arial" w:cs="Arial" w:eastAsia="Arial" w:hAnsi="Arial"/>
          <w:b/>
          <w:bCs/>
          <w:color w:val="1B2118"/>
          <w:sz w:val="21"/>
          <w:szCs w:val="21"/>
        </w:rPr>
        <w:t xml:space="preserve">ritirati</w:t>
      </w:r>
      <w:r>
        <w:rPr>
          <w:rFonts w:ascii="Arial" w:cs="Arial" w:eastAsia="Arial" w:hAnsi="Arial"/>
          <w:color w:val="1B2118"/>
          <w:sz w:val="21"/>
          <w:szCs w:val="21"/>
        </w:rPr>
        <w:t xml:space="preserve"> e la dichiarazione diventa pubblica.</w:t>
      </w:r>
    </w:p>
    <w:p>
      <w:pPr>
        <w:spacing w:after="60"/>
      </w:pPr>
    </w:p>
    <w:p>
      <w:pPr>
        <w:spacing w:after="140" w:line="300"/>
      </w:pPr>
      <w:r>
        <w:rPr>
          <w:rFonts w:ascii="Arial" w:cs="Arial" w:eastAsia="Arial" w:hAnsi="Arial"/>
          <w:color w:val="1B2118"/>
          <w:sz w:val="21"/>
          <w:szCs w:val="21"/>
        </w:rPr>
        <w:t xml:space="preserve">Se dopo 10 giorni dalla vendita la dichiarazione manca, la vendita mostra in rosso «Manca la dichiarazione di cancellazione (attesa entro 10 giorni dalla vendita)» e lo staff riceve ogni giorno la notifica «Manca la dichiarazione di cancellazione dei crediti venduti».</w:t>
      </w:r>
    </w:p>
    <w:p>
      <w:pPr>
        <w:spacing w:after="140" w:line="300"/>
      </w:pPr>
      <w:r>
        <w:rPr>
          <w:rFonts w:ascii="Arial" w:cs="Arial" w:eastAsia="Arial" w:hAnsi="Arial"/>
          <w:b/>
          <w:bCs/>
          <w:color w:val="1B2118"/>
          <w:sz w:val="21"/>
          <w:szCs w:val="21"/>
        </w:rPr>
        <w:t xml:space="preserve">Stato dei crediti.</w:t>
      </w:r>
      <w:r>
        <w:rPr>
          <w:rFonts w:ascii="Arial" w:cs="Arial" w:eastAsia="Arial" w:hAnsi="Arial"/>
          <w:color w:val="1B2118"/>
          <w:sz w:val="21"/>
          <w:szCs w:val="21"/>
        </w:rPr>
        <w:t xml:space="preserve"> Ogni lotto mostra uno di questi stati, come sul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73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caricare sul registro</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non ancora caricati su un registro</w:t>
            </w:r>
          </w:p>
        </w:tc>
      </w:tr>
      <w:tr>
        <w:trPr>
          <w:cantSplit/>
        </w:trPr>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attivi N</w:t>
            </w:r>
          </w:p>
        </w:tc>
        <w:tc>
          <w:tcPr>
            <w:tcW w:type="dxa" w:w="73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sul registro, disponibili e non ancora cancellati (compresi quelli venduti in attesa della dichiarazione)</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M</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venduti e cancellati con la dichiarazione di cancellazione tombale</w:t>
            </w:r>
          </w:p>
        </w:tc>
      </w:tr>
    </w:tbl>
    <w:p>
      <w:pPr>
        <w:spacing w:after="160"/>
      </w:pPr>
    </w:p>
    <w:p>
      <w:pPr>
        <w:spacing w:after="140" w:line="300"/>
      </w:pPr>
      <w:r>
        <w:rPr>
          <w:rFonts w:ascii="Arial" w:cs="Arial" w:eastAsia="Arial" w:hAnsi="Arial"/>
          <w:b/>
          <w:bCs/>
          <w:color w:val="1B2118"/>
          <w:sz w:val="21"/>
          <w:szCs w:val="21"/>
        </w:rPr>
        <w:t xml:space="preserve">Pagina Crediti emessi.</w:t>
      </w:r>
      <w:r>
        <w:rPr>
          <w:rFonts w:ascii="Arial" w:cs="Arial" w:eastAsia="Arial" w:hAnsi="Arial"/>
          <w:color w:val="1B2118"/>
          <w:sz w:val="21"/>
          <w:szCs w:val="21"/>
        </w:rPr>
        <w:t xml:space="preserve"> La voce di menu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(Operatori e Amministratori) elenca tutti i lotti di tutti i Rapporti, con organizzazione e anno del Rapporto, e in alto il totale dei crediti emessi, attivi e ritirati. Dalla pagina si fanno le stesse azioni dello staff (registro, vendite, cancellazioni); l'emissione si fa solo dal Rapporto. Lotti, ID e stato compaiono anche sulla pagina pubblica del Programma. Ogni operazione è registrata nell'audit.</w:t>
      </w:r>
    </w:p>
    <w:p>
      <w:pPr>
        <w:pStyle w:val="Heading1"/>
        <w:pageBreakBefore/>
        <w:pBdr>
          <w:bottom w:val="single" w:color="2F5D3A" w:sz="12" w:space="6"/>
        </w:pBdr>
        <w:spacing w:after="240" w:before="0"/>
      </w:pPr>
      <w:bookmarkStart w:name="cap21" w:id="1"/>
      <w:r>
        <w:rPr>
          <w:rFonts w:ascii="Arial" w:cs="Arial" w:eastAsia="Arial" w:hAnsi="Arial"/>
          <w:b/>
          <w:bCs/>
          <w:color w:val="2F5D3A"/>
          <w:sz w:val="34"/>
          <w:szCs w:val="34"/>
        </w:rPr>
        <w:t xml:space="preserve">21. Reclami e richieste di chiarimento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Reclami</w:t>
      </w:r>
      <w:r>
        <w:rPr>
          <w:rFonts w:ascii="Arial" w:cs="Arial" w:eastAsia="Arial" w:hAnsi="Arial"/>
          <w:color w:val="1B2118"/>
          <w:sz w:val="21"/>
          <w:szCs w:val="21"/>
        </w:rPr>
        <w:t xml:space="preserve"> (menu di tutti gli utenti) gestisce i reclami e le richieste di chiarimento secondo la </w:t>
      </w:r>
      <w:r>
        <w:rPr>
          <w:rFonts w:ascii="Arial" w:cs="Arial" w:eastAsia="Arial" w:hAnsi="Arial"/>
          <w:i/>
          <w:iCs/>
          <w:color w:val="1B2118"/>
          <w:sz w:val="21"/>
          <w:szCs w:val="21"/>
        </w:rPr>
        <w:t xml:space="preserve">Politica di reclamo</w:t>
      </w:r>
      <w:r>
        <w:rPr>
          <w:rFonts w:ascii="Arial" w:cs="Arial" w:eastAsia="Arial" w:hAnsi="Arial"/>
          <w:color w:val="1B2118"/>
          <w:sz w:val="21"/>
          <w:szCs w:val="21"/>
        </w:rPr>
        <w:t xml:space="preserve"> del Programma (Guida cap. 8). Ogni invio riceve un codice automatico: </w:t>
      </w:r>
      <w:r>
        <w:rPr>
          <w:rFonts w:ascii="Consolas" w:cs="Consolas" w:eastAsia="Consolas" w:hAnsi="Consolas"/>
          <w:color w:val="2F5D3A"/>
          <w:sz w:val="21"/>
          <w:szCs w:val="21"/>
        </w:rPr>
        <w:t xml:space="preserve">REC-AAAA-NNN</w:t>
      </w:r>
      <w:r>
        <w:rPr>
          <w:rFonts w:ascii="Arial" w:cs="Arial" w:eastAsia="Arial" w:hAnsi="Arial"/>
          <w:color w:val="1B2118"/>
          <w:sz w:val="21"/>
          <w:szCs w:val="21"/>
        </w:rPr>
        <w:t xml:space="preserve"> per i reclami, </w:t>
      </w:r>
      <w:r>
        <w:rPr>
          <w:rFonts w:ascii="Consolas" w:cs="Consolas" w:eastAsia="Consolas" w:hAnsi="Consolas"/>
          <w:color w:val="2F5D3A"/>
          <w:sz w:val="21"/>
          <w:szCs w:val="21"/>
        </w:rPr>
        <w:t xml:space="preserve">CHI-AAAA-NNN</w:t>
      </w:r>
      <w:r>
        <w:rPr>
          <w:rFonts w:ascii="Arial" w:cs="Arial" w:eastAsia="Arial" w:hAnsi="Arial"/>
          <w:color w:val="1B2118"/>
          <w:sz w:val="21"/>
          <w:szCs w:val="21"/>
        </w:rPr>
        <w:t xml:space="preserve"> per le richieste di chiarimento.</w:t>
      </w:r>
    </w:p>
    <w:p>
      <w:pPr>
        <w:spacing w:after="140" w:line="300"/>
      </w:pPr>
      <w:r>
        <w:rPr>
          <w:rFonts w:ascii="Arial" w:cs="Arial" w:eastAsia="Arial" w:hAnsi="Arial"/>
          <w:b/>
          <w:bCs/>
          <w:color w:val="1B2118"/>
          <w:sz w:val="21"/>
          <w:szCs w:val="21"/>
        </w:rPr>
        <w:t xml:space="preserve">Cosa fa l'utente del portale.</w:t>
      </w: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Nuovo invio</w:t>
      </w:r>
      <w:r>
        <w:rPr>
          <w:rFonts w:ascii="Arial" w:cs="Arial" w:eastAsia="Arial" w:hAnsi="Arial"/>
          <w:color w:val="1B2118"/>
          <w:sz w:val="21"/>
          <w:szCs w:val="21"/>
        </w:rPr>
        <w:t xml:space="preserve"> sceglie il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Richiesta di chiarimento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Reclamo</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(facoltativo), scrive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(almeno 10 caratteri) e l'eventuale </w:t>
      </w:r>
      <w:r>
        <w:rPr>
          <w:rFonts w:ascii="Arial" w:cs="Arial" w:eastAsia="Arial" w:hAnsi="Arial"/>
          <w:b/>
          <w:bCs/>
          <w:color w:val="1B2118"/>
          <w:sz w:val="21"/>
          <w:szCs w:val="21"/>
        </w:rPr>
        <w:t xml:space="preserve">Dichiarazione di eventuali conflitti di interesse</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Riceve il codice e segue stato e risposta in </w:t>
      </w:r>
      <w:r>
        <w:rPr>
          <w:rFonts w:ascii="Arial" w:cs="Arial" w:eastAsia="Arial" w:hAnsi="Arial"/>
          <w:b/>
          <w:bCs/>
          <w:color w:val="1B2118"/>
          <w:sz w:val="21"/>
          <w:szCs w:val="21"/>
        </w:rPr>
        <w:t xml:space="preserve">I miei invii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fa lo staff.</w:t>
      </w:r>
      <w:r>
        <w:rPr>
          <w:rFonts w:ascii="Arial" w:cs="Arial" w:eastAsia="Arial" w:hAnsi="Arial"/>
          <w:color w:val="1B2118"/>
          <w:sz w:val="21"/>
          <w:szCs w:val="21"/>
        </w:rPr>
        <w:t xml:space="preserve"> La pagina mostra tutti gli invii, con i filtri </w:t>
      </w:r>
      <w:r>
        <w:rPr>
          <w:rFonts w:ascii="Arial" w:cs="Arial" w:eastAsia="Arial" w:hAnsi="Arial"/>
          <w:i/>
          <w:iCs/>
          <w:color w:val="1B2118"/>
          <w:sz w:val="21"/>
          <w:szCs w:val="21"/>
        </w:rPr>
        <w:t xml:space="preserve">aperti</w:t>
      </w:r>
      <w:r>
        <w:rPr>
          <w:rFonts w:ascii="Arial" w:cs="Arial" w:eastAsia="Arial" w:hAnsi="Arial"/>
          <w:color w:val="1B2118"/>
          <w:sz w:val="21"/>
          <w:szCs w:val="21"/>
        </w:rPr>
        <w:t xml:space="preserve"> (ricevuto e in esame),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esame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risposto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chiuso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tutti</w:t>
      </w:r>
      <w:r>
        <w:rPr>
          <w:rFonts w:ascii="Arial" w:cs="Arial" w:eastAsia="Arial" w:hAnsi="Arial"/>
          <w:color w:val="1B2118"/>
          <w:sz w:val="21"/>
          <w:szCs w:val="21"/>
        </w:rPr>
        <w:t xml:space="preserve">. Per ogni nuovo invio lo staff riceve la notifica «Nuovo reclamo …» o «Nuova richiesta di chiarimento …».</w:t>
      </w:r>
    </w:p>
    <w:p>
      <w:pPr>
        <w:spacing w:after="140" w:line="300"/>
      </w:pPr>
      <w:r>
        <w:rPr>
          <w:rFonts w:ascii="Arial" w:cs="Arial" w:eastAsia="Arial" w:hAnsi="Arial"/>
          <w:i/>
          <w:iCs/>
          <w:color w:val="1B2118"/>
          <w:sz w:val="21"/>
          <w:szCs w:val="21"/>
        </w:rPr>
        <w:t xml:space="preserve">Registrare un reclamo arrivato per PEC o email:</w:t>
      </w:r>
    </w:p>
    <w:p>
      <w:pPr>
        <w:pStyle w:val="ListParagraph"/>
        <w:numPr>
          <w:ilvl w:val="0"/>
          <w:numId w:val="4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Registra (PEC, email)</w:t>
      </w:r>
      <w:r>
        <w:rPr>
          <w:rFonts w:ascii="Arial" w:cs="Arial" w:eastAsia="Arial" w:hAnsi="Arial"/>
          <w:color w:val="1B2118"/>
          <w:sz w:val="21"/>
          <w:szCs w:val="21"/>
        </w:rPr>
        <w:t xml:space="preserve">.</w:t>
      </w:r>
    </w:p>
    <w:p>
      <w:pPr>
        <w:pStyle w:val="ListParagraph"/>
        <w:numPr>
          <w:ilvl w:val="0"/>
          <w:numId w:val="40"/>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Canale</w:t>
      </w:r>
      <w:r>
        <w:rPr>
          <w:rFonts w:ascii="Arial" w:cs="Arial" w:eastAsia="Arial" w:hAnsi="Arial"/>
          <w:color w:val="1B2118"/>
          <w:sz w:val="21"/>
          <w:szCs w:val="21"/>
        </w:rPr>
        <w:t xml:space="preserve"> (pec, portale, email, altro), </w:t>
      </w:r>
      <w:r>
        <w:rPr>
          <w:rFonts w:ascii="Arial" w:cs="Arial" w:eastAsia="Arial" w:hAnsi="Arial"/>
          <w:b/>
          <w:bCs/>
          <w:color w:val="1B2118"/>
          <w:sz w:val="21"/>
          <w:szCs w:val="21"/>
        </w:rPr>
        <w:t xml:space="preserve">Ricevuto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(promotore del progetto, ente di validazione e verifica, sviluppatore di metodologia, registro, stakeholder), </w:t>
      </w:r>
      <w:r>
        <w:rPr>
          <w:rFonts w:ascii="Arial" w:cs="Arial" w:eastAsia="Arial" w:hAnsi="Arial"/>
          <w:b/>
          <w:bCs/>
          <w:color w:val="1B2118"/>
          <w:sz w:val="21"/>
          <w:szCs w:val="21"/>
        </w:rPr>
        <w:t xml:space="preserve">Contatti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Conflitto di interessi dichiarato</w:t>
      </w:r>
      <w:r>
        <w:rPr>
          <w:rFonts w:ascii="Arial" w:cs="Arial" w:eastAsia="Arial" w:hAnsi="Arial"/>
          <w:color w:val="1B2118"/>
          <w:sz w:val="21"/>
          <w:szCs w:val="21"/>
        </w:rPr>
        <w:t xml:space="preserve">.</w:t>
      </w:r>
    </w:p>
    <w:p>
      <w:pPr>
        <w:pStyle w:val="ListParagraph"/>
        <w:numPr>
          <w:ilvl w:val="0"/>
          <w:numId w:val="4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Gestire un reclamo:</w:t>
      </w:r>
    </w:p>
    <w:p>
      <w:pPr>
        <w:pStyle w:val="ListParagraph"/>
        <w:numPr>
          <w:ilvl w:val="0"/>
          <w:numId w:val="41"/>
        </w:numPr>
        <w:spacing w:after="70" w:line="290"/>
      </w:pPr>
      <w:r>
        <w:rPr>
          <w:rFonts w:ascii="Arial" w:cs="Arial" w:eastAsia="Arial" w:hAnsi="Arial"/>
          <w:color w:val="1B2118"/>
          <w:sz w:val="21"/>
          <w:szCs w:val="21"/>
        </w:rPr>
        <w:t xml:space="preserve">Sulla riga premete </w:t>
      </w:r>
      <w:r>
        <w:rPr>
          <w:rFonts w:ascii="Arial" w:cs="Arial" w:eastAsia="Arial" w:hAnsi="Arial"/>
          <w:b/>
          <w:bCs/>
          <w:color w:val="1B2118"/>
          <w:sz w:val="21"/>
          <w:szCs w:val="21"/>
        </w:rPr>
        <w:t xml:space="preserve">Gestisci</w:t>
      </w:r>
      <w:r>
        <w:rPr>
          <w:rFonts w:ascii="Arial" w:cs="Arial" w:eastAsia="Arial" w:hAnsi="Arial"/>
          <w:color w:val="1B2118"/>
          <w:sz w:val="21"/>
          <w:szCs w:val="21"/>
        </w:rPr>
        <w:t xml:space="preserve">.</w:t>
      </w:r>
    </w:p>
    <w:p>
      <w:pPr>
        <w:pStyle w:val="ListParagraph"/>
        <w:numPr>
          <w:ilvl w:val="0"/>
          <w:numId w:val="41"/>
        </w:numPr>
        <w:spacing w:after="70" w:line="290"/>
      </w:pPr>
      <w:r>
        <w:rPr>
          <w:rFonts w:ascii="Arial" w:cs="Arial" w:eastAsia="Arial" w:hAnsi="Arial"/>
          <w:color w:val="1B2118"/>
          <w:sz w:val="21"/>
          <w:szCs w:val="21"/>
        </w:rPr>
        <w:t xml:space="preserve">Aggiornate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(ricevuto, in esame, risposto, chiuso), </w:t>
      </w:r>
      <w:r>
        <w:rPr>
          <w:rFonts w:ascii="Arial" w:cs="Arial" w:eastAsia="Arial" w:hAnsi="Arial"/>
          <w:b/>
          <w:bCs/>
          <w:color w:val="1B2118"/>
          <w:sz w:val="21"/>
          <w:szCs w:val="21"/>
        </w:rPr>
        <w:t xml:space="preserve">Gestito da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di ricezione inviata il</w:t>
      </w:r>
      <w:r>
        <w:rPr>
          <w:rFonts w:ascii="Arial" w:cs="Arial" w:eastAsia="Arial" w:hAnsi="Arial"/>
          <w:color w:val="1B2118"/>
          <w:sz w:val="21"/>
          <w:szCs w:val="21"/>
        </w:rPr>
        <w:t xml:space="preserve"> e, se previsti, i </w:t>
      </w:r>
      <w:r>
        <w:rPr>
          <w:rFonts w:ascii="Arial" w:cs="Arial" w:eastAsia="Arial" w:hAnsi="Arial"/>
          <w:b/>
          <w:bCs/>
          <w:color w:val="1B2118"/>
          <w:sz w:val="21"/>
          <w:szCs w:val="21"/>
        </w:rPr>
        <w:t xml:space="preserve">Costi addebitati (€)</w:t>
      </w:r>
      <w:r>
        <w:rPr>
          <w:rFonts w:ascii="Arial" w:cs="Arial" w:eastAsia="Arial" w:hAnsi="Arial"/>
          <w:color w:val="1B2118"/>
          <w:sz w:val="21"/>
          <w:szCs w:val="21"/>
        </w:rPr>
        <w:t xml:space="preserve">.</w:t>
      </w:r>
    </w:p>
    <w:p>
      <w:pPr>
        <w:pStyle w:val="ListParagraph"/>
        <w:numPr>
          <w:ilvl w:val="0"/>
          <w:numId w:val="41"/>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Risposta scritta</w:t>
      </w:r>
      <w:r>
        <w:rPr>
          <w:rFonts w:ascii="Arial" w:cs="Arial" w:eastAsia="Arial" w:hAnsi="Arial"/>
          <w:color w:val="1B2118"/>
          <w:sz w:val="21"/>
          <w:szCs w:val="21"/>
        </w:rPr>
        <w:t xml:space="preserve"> e, se serve, le </w:t>
      </w:r>
      <w:r>
        <w:rPr>
          <w:rFonts w:ascii="Arial" w:cs="Arial" w:eastAsia="Arial" w:hAnsi="Arial"/>
          <w:b/>
          <w:bCs/>
          <w:color w:val="1B2118"/>
          <w:sz w:val="21"/>
          <w:szCs w:val="21"/>
        </w:rPr>
        <w:t xml:space="preserve">Note interne (riservate)</w:t>
      </w:r>
      <w:r>
        <w:rPr>
          <w:rFonts w:ascii="Arial" w:cs="Arial" w:eastAsia="Arial" w:hAnsi="Arial"/>
          <w:color w:val="1B2118"/>
          <w:sz w:val="21"/>
          <w:szCs w:val="21"/>
        </w:rPr>
        <w:t xml:space="preserve">, che l'autore non vede mai.</w:t>
      </w:r>
    </w:p>
    <w:p>
      <w:pPr>
        <w:pStyle w:val="ListParagraph"/>
        <w:numPr>
          <w:ilvl w:val="0"/>
          <w:numId w:val="4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Quando si salva la risposta, la data della risposta si imposta da sola e, se l'invio è arrivato dal portale, l'autore riceve la notifica «Risposta a …».</w:t>
      </w:r>
    </w:p>
    <w:p>
      <w:pPr>
        <w:spacing w:after="60"/>
      </w:pPr>
    </w:p>
    <w:p>
      <w:pPr>
        <w:spacing w:after="140" w:line="300"/>
      </w:pPr>
      <w:r>
        <w:rPr>
          <w:rFonts w:ascii="Arial" w:cs="Arial" w:eastAsia="Arial" w:hAnsi="Arial"/>
          <w:color w:val="1B2118"/>
          <w:sz w:val="21"/>
          <w:szCs w:val="21"/>
        </w:rPr>
        <w:t xml:space="preserve">La riga ricorda se la conferma di ricezione è ancora da inviare. Le spese di gestione di un reclamo sono a carico di chi lo presenta, che ne viene informato; non si pagano se l'azione contestata viene annullata. Ogni modifica è registrata nell'audit.</w:t>
      </w:r>
    </w:p>
    <w:p>
      <w:pPr>
        <w:pStyle w:val="Heading1"/>
        <w:pageBreakBefore/>
        <w:pBdr>
          <w:bottom w:val="single" w:color="2F5D3A" w:sz="12" w:space="6"/>
        </w:pBdr>
        <w:spacing w:after="240" w:before="0"/>
      </w:pPr>
      <w:bookmarkStart w:name="cap22" w:id="1"/>
      <w:r>
        <w:rPr>
          <w:rFonts w:ascii="Arial" w:cs="Arial" w:eastAsia="Arial" w:hAnsi="Arial"/>
          <w:b/>
          <w:bCs/>
          <w:color w:val="2F5D3A"/>
          <w:sz w:val="34"/>
          <w:szCs w:val="34"/>
        </w:rPr>
        <w:t xml:space="preserve">22. Pagina pubblica del Programma</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Il 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w:t>
      </w:r>
      <w:r>
        <w:rPr>
          <w:rFonts w:ascii="Arial" w:cs="Arial" w:eastAsia="Arial" w:hAnsi="Arial"/>
          <w:color w:val="1B2118"/>
          <w:sz w:val="21"/>
          <w:szCs w:val="21"/>
        </w:rPr>
        <w:t xml:space="preserve">) è la parte pubblica della piattaforma richiesta dalla Guida (cap. 3.7): si apre senza credenziali ed è collegata dalla pagina di accesso, dall'intestazione delle pagine pubbliche e dal menu del Comune. Mostra:</w:t>
      </w:r>
    </w:p>
    <w:p>
      <w:pPr>
        <w:pStyle w:val="ListParagraph"/>
        <w:numPr>
          <w:ilvl w:val="0"/>
          <w:numId w:val="2"/>
        </w:numPr>
        <w:spacing w:after="70" w:line="290"/>
      </w:pPr>
      <w:r>
        <w:rPr>
          <w:rFonts w:ascii="Arial" w:cs="Arial" w:eastAsia="Arial" w:hAnsi="Arial"/>
          <w:color w:val="1B2118"/>
          <w:sz w:val="21"/>
          <w:szCs w:val="21"/>
        </w:rPr>
        <w:t xml:space="preserve">le </w:t>
      </w:r>
      <w:r>
        <w:rPr>
          <w:rFonts w:ascii="Arial" w:cs="Arial" w:eastAsia="Arial" w:hAnsi="Arial"/>
          <w:b/>
          <w:bCs/>
          <w:color w:val="1B2118"/>
          <w:sz w:val="21"/>
          <w:szCs w:val="21"/>
        </w:rPr>
        <w:t xml:space="preserve">informazioni del Programma</w:t>
      </w:r>
      <w:r>
        <w:rPr>
          <w:rFonts w:ascii="Arial" w:cs="Arial" w:eastAsia="Arial" w:hAnsi="Arial"/>
          <w:color w:val="1B2118"/>
          <w:sz w:val="21"/>
          <w:szCs w:val="21"/>
        </w:rPr>
        <w:t xml:space="preserve">: soggetto promotore del programma, PEC, email e sito ufficiale (da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 con il collegamento ai periodi di feedback pubblico aperti;</w:t>
      </w:r>
    </w:p>
    <w:p>
      <w:pPr>
        <w:pStyle w:val="ListParagraph"/>
        <w:numPr>
          <w:ilvl w:val="0"/>
          <w:numId w:val="2"/>
        </w:numPr>
        <w:spacing w:after="70" w:line="29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enti di validazione e verifica</w:t>
      </w:r>
      <w:r>
        <w:rPr>
          <w:rFonts w:ascii="Arial" w:cs="Arial" w:eastAsia="Arial" w:hAnsi="Arial"/>
          <w:color w:val="1B2118"/>
          <w:sz w:val="21"/>
          <w:szCs w:val="21"/>
        </w:rPr>
        <w:t xml:space="preserve"> attivi, 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attivi e le </w:t>
      </w:r>
      <w:r>
        <w:rPr>
          <w:rFonts w:ascii="Arial" w:cs="Arial" w:eastAsia="Arial" w:hAnsi="Arial"/>
          <w:b/>
          <w:bCs/>
          <w:color w:val="1B2118"/>
          <w:sz w:val="21"/>
          <w:szCs w:val="21"/>
        </w:rPr>
        <w:t xml:space="preserve">metodologie approvate</w:t>
      </w:r>
      <w:r>
        <w:rPr>
          <w:rFonts w:ascii="Arial" w:cs="Arial" w:eastAsia="Arial" w:hAnsi="Arial"/>
          <w:color w:val="1B2118"/>
          <w:sz w:val="21"/>
          <w:szCs w:val="21"/>
        </w:rPr>
        <w:t xml:space="preserve"> (non ritirate);</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documenti del Programma</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 i modelli segnati come pubblici, scaricabili;</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Progetti</w:t>
      </w:r>
      <w:r>
        <w:rPr>
          <w:rFonts w:ascii="Arial" w:cs="Arial" w:eastAsia="Arial" w:hAnsi="Arial"/>
          <w:color w:val="1B2118"/>
          <w:sz w:val="21"/>
          <w:szCs w:val="21"/>
        </w:rPr>
        <w:t xml:space="preserve"> dal momento in cui sono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(anche quelli ritirati, non quelli annullati), con ID, promotore, co-promotori, territorio (codici ISTAT), periodo di riferimento, stato nel Programma, data di registrazione e documenti pubblici scaricabili; per ogni Progetto i </w:t>
      </w:r>
      <w:r>
        <w:rPr>
          <w:rFonts w:ascii="Arial" w:cs="Arial" w:eastAsia="Arial" w:hAnsi="Arial"/>
          <w:b/>
          <w:bCs/>
          <w:color w:val="1B2118"/>
          <w:sz w:val="21"/>
          <w:szCs w:val="21"/>
        </w:rPr>
        <w:t xml:space="preserve">Rapporti</w:t>
      </w:r>
      <w:r>
        <w:rPr>
          <w:rFonts w:ascii="Arial" w:cs="Arial" w:eastAsia="Arial" w:hAnsi="Arial"/>
          <w:color w:val="1B2118"/>
          <w:sz w:val="21"/>
          <w:szCs w:val="21"/>
        </w:rPr>
        <w:t xml:space="preserve"> dalla fase di validazione in poi, con stato, documenti pubblici e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(lotti con ID da/a, registro, crediti attivi e ritirati);</w:t>
      </w:r>
    </w:p>
    <w:p>
      <w:pPr>
        <w:pStyle w:val="ListParagraph"/>
        <w:numPr>
          <w:ilvl w:val="0"/>
          <w:numId w:val="2"/>
        </w:numPr>
        <w:spacing w:after="70" w:line="290"/>
      </w:pPr>
      <w:r>
        <w:rPr>
          <w:rFonts w:ascii="Arial" w:cs="Arial" w:eastAsia="Arial" w:hAnsi="Arial"/>
          <w:color w:val="1B2118"/>
          <w:sz w:val="21"/>
          <w:szCs w:val="21"/>
        </w:rPr>
        <w:t xml:space="preserve">come presentare un </w:t>
      </w:r>
      <w:r>
        <w:rPr>
          <w:rFonts w:ascii="Arial" w:cs="Arial" w:eastAsia="Arial" w:hAnsi="Arial"/>
          <w:b/>
          <w:bCs/>
          <w:color w:val="1B2118"/>
          <w:sz w:val="21"/>
          <w:szCs w:val="21"/>
        </w:rPr>
        <w:t xml:space="preserve">reclamo o una richiesta di chiarimento</w:t>
      </w:r>
      <w:r>
        <w:rPr>
          <w:rFonts w:ascii="Arial" w:cs="Arial" w:eastAsia="Arial" w:hAnsi="Arial"/>
          <w:color w:val="1B2118"/>
          <w:sz w:val="21"/>
          <w:szCs w:val="21"/>
        </w:rPr>
        <w:t xml:space="preserve"> (per PEC, o dalla pagina Reclami per chi ha un account).</w:t>
      </w:r>
    </w:p>
    <w:p>
      <w:pPr>
        <w:spacing w:after="140" w:line="300"/>
      </w:pPr>
      <w:r>
        <w:rPr>
          <w:rFonts w:ascii="Arial" w:cs="Arial" w:eastAsia="Arial" w:hAnsi="Arial"/>
          <w:color w:val="1B2118"/>
          <w:sz w:val="21"/>
          <w:szCs w:val="21"/>
        </w:rPr>
        <w:t xml:space="preserve">La pagina non mostra dati personali. Si scaricano solo i documenti segnati come pubblici, nella versione corrente; contratti con l'ente e versioni private non compaiono mai. Per far comparire o togliere un documento basta cambiare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nella pratica o nel modello.</w:t>
      </w:r>
    </w:p>
    <w:p>
      <w:pPr>
        <w:pStyle w:val="Heading1"/>
        <w:pageBreakBefore/>
        <w:pBdr>
          <w:bottom w:val="single" w:color="2F5D3A" w:sz="12" w:space="6"/>
        </w:pBdr>
        <w:spacing w:after="240" w:before="0"/>
      </w:pPr>
      <w:bookmarkStart w:name="cap23" w:id="1"/>
      <w:r>
        <w:rPr>
          <w:rFonts w:ascii="Arial" w:cs="Arial" w:eastAsia="Arial" w:hAnsi="Arial"/>
          <w:b/>
          <w:bCs/>
          <w:color w:val="2F5D3A"/>
          <w:sz w:val="34"/>
          <w:szCs w:val="34"/>
        </w:rPr>
        <w:t xml:space="preserve">23. Backup automatico</w:t>
      </w:r>
      <w:bookmarkEnd w:id="1"/>
    </w:p>
    <w:p>
      <w:pPr>
        <w:spacing w:after="140" w:line="300"/>
      </w:pPr>
      <w:r>
        <w:rPr>
          <w:rFonts w:ascii="Arial" w:cs="Arial" w:eastAsia="Arial" w:hAnsi="Arial"/>
          <w:color w:val="1B2118"/>
          <w:sz w:val="21"/>
          <w:szCs w:val="21"/>
        </w:rPr>
        <w:t xml:space="preserve">Ogni giorno, tra le 13 e le 14 e tra le 21 e le 22, un programma nell'account Google di Luca (Google Apps Script) copia tutto il portale in una nuova cartella </w:t>
      </w:r>
      <w:r>
        <w:rPr>
          <w:rFonts w:ascii="Arial" w:cs="Arial" w:eastAsia="Arial" w:hAnsi="Arial"/>
          <w:b/>
          <w:bCs/>
          <w:color w:val="1B2118"/>
          <w:sz w:val="21"/>
          <w:szCs w:val="21"/>
        </w:rPr>
        <w:t xml:space="preserve">Backup_CWP_aaaa-mm-gg_hhmm</w:t>
      </w:r>
      <w:r>
        <w:rPr>
          <w:rFonts w:ascii="Arial" w:cs="Arial" w:eastAsia="Arial" w:hAnsi="Arial"/>
          <w:color w:val="1B2118"/>
          <w:sz w:val="21"/>
          <w:szCs w:val="21"/>
        </w:rPr>
        <w:t xml:space="preserve">, dentro la cartella </w:t>
      </w:r>
      <w:r>
        <w:rPr>
          <w:rFonts w:ascii="Arial" w:cs="Arial" w:eastAsia="Arial" w:hAnsi="Arial"/>
          <w:b/>
          <w:bCs/>
          <w:color w:val="1B2118"/>
          <w:sz w:val="21"/>
          <w:szCs w:val="21"/>
        </w:rPr>
        <w:t xml:space="preserve">Cwp</w:t>
      </w:r>
      <w:r>
        <w:rPr>
          <w:rFonts w:ascii="Arial" w:cs="Arial" w:eastAsia="Arial" w:hAnsi="Arial"/>
          <w:color w:val="1B2118"/>
          <w:sz w:val="21"/>
          <w:szCs w:val="21"/>
        </w:rPr>
        <w:t xml:space="preserve"> del suo Drive:</w:t>
      </w:r>
    </w:p>
    <w:p>
      <w:pPr>
        <w:pStyle w:val="ListParagraph"/>
        <w:numPr>
          <w:ilvl w:val="0"/>
          <w:numId w:val="2"/>
        </w:numPr>
        <w:spacing w:after="70" w:line="290"/>
      </w:pPr>
      <w:r>
        <w:rPr>
          <w:rFonts w:ascii="Arial" w:cs="Arial" w:eastAsia="Arial" w:hAnsi="Arial"/>
          <w:color w:val="1B2118"/>
          <w:sz w:val="21"/>
          <w:szCs w:val="21"/>
        </w:rPr>
        <w:t xml:space="preserve">codice da GitHub;</w:t>
      </w:r>
    </w:p>
    <w:p>
      <w:pPr>
        <w:pStyle w:val="ListParagraph"/>
        <w:numPr>
          <w:ilvl w:val="0"/>
          <w:numId w:val="2"/>
        </w:numPr>
        <w:spacing w:after="70" w:line="290"/>
      </w:pPr>
      <w:r>
        <w:rPr>
          <w:rFonts w:ascii="Arial" w:cs="Arial" w:eastAsia="Arial" w:hAnsi="Arial"/>
          <w:color w:val="1B2118"/>
          <w:sz w:val="21"/>
          <w:szCs w:val="21"/>
        </w:rPr>
        <w:t xml:space="preserve">tutte le tabelle del database e gli utenti, senza password;</w:t>
      </w:r>
    </w:p>
    <w:p>
      <w:pPr>
        <w:pStyle w:val="ListParagraph"/>
        <w:numPr>
          <w:ilvl w:val="0"/>
          <w:numId w:val="2"/>
        </w:numPr>
        <w:spacing w:after="70" w:line="290"/>
      </w:pPr>
      <w:r>
        <w:rPr>
          <w:rFonts w:ascii="Arial" w:cs="Arial" w:eastAsia="Arial" w:hAnsi="Arial"/>
          <w:color w:val="1B2118"/>
          <w:sz w:val="21"/>
          <w:szCs w:val="21"/>
        </w:rPr>
        <w:t xml:space="preserve">tutti i file caricati;</w:t>
      </w:r>
    </w:p>
    <w:p>
      <w:pPr>
        <w:pStyle w:val="ListParagraph"/>
        <w:numPr>
          <w:ilvl w:val="0"/>
          <w:numId w:val="2"/>
        </w:numPr>
        <w:spacing w:after="70" w:line="290"/>
      </w:pPr>
      <w:r>
        <w:rPr>
          <w:rFonts w:ascii="Arial" w:cs="Arial" w:eastAsia="Arial" w:hAnsi="Arial"/>
          <w:color w:val="1B2118"/>
          <w:sz w:val="21"/>
          <w:szCs w:val="21"/>
        </w:rPr>
        <w:t xml:space="preserve">la configurazione di Supabase, Vercel e Resend, senza le chiavi;</w:t>
      </w:r>
    </w:p>
    <w:p>
      <w:pPr>
        <w:pStyle w:val="ListParagraph"/>
        <w:numPr>
          <w:ilvl w:val="0"/>
          <w:numId w:val="2"/>
        </w:numPr>
        <w:spacing w:after="70" w:line="290"/>
      </w:pPr>
      <w:r>
        <w:rPr>
          <w:rFonts w:ascii="Arial" w:cs="Arial" w:eastAsia="Arial" w:hAnsi="Arial"/>
          <w:color w:val="1B2118"/>
          <w:sz w:val="21"/>
          <w:szCs w:val="21"/>
        </w:rPr>
        <w:t xml:space="preserve">le Istruzioni di ripristino.</w:t>
      </w:r>
    </w:p>
    <w:p>
      <w:pPr>
        <w:spacing w:after="140" w:line="300"/>
      </w:pPr>
      <w:r>
        <w:rPr>
          <w:rFonts w:ascii="Arial" w:cs="Arial" w:eastAsia="Arial" w:hAnsi="Arial"/>
          <w:color w:val="1B2118"/>
          <w:sz w:val="21"/>
          <w:szCs w:val="21"/>
        </w:rPr>
        <w:t xml:space="preserve">Le cartelle vecchie le toglie Luca a mano. Se un backup non riesce, arriva un'email.</w:t>
      </w:r>
    </w:p>
    <w:p>
      <w:pPr>
        <w:spacing w:after="140" w:line="300"/>
      </w:pPr>
      <w:r>
        <w:rPr>
          <w:rFonts w:ascii="Arial" w:cs="Arial" w:eastAsia="Arial" w:hAnsi="Arial"/>
          <w:color w:val="1B2118"/>
          <w:sz w:val="21"/>
          <w:szCs w:val="21"/>
        </w:rPr>
        <w:t xml:space="preserve">Installazione e ripristino sono nelle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capitolo «Backup automatico su Google Drive». Il ripristino rimette dati, file e utenti identici; dopo il ripristino gli utenti scelgono una nuova password con «Password dimenticata?».</w:t>
      </w:r>
    </w:p>
    <w:p>
      <w:pPr>
        <w:pStyle w:val="Heading1"/>
        <w:pageBreakBefore/>
        <w:pBdr>
          <w:bottom w:val="single" w:color="2F5D3A" w:sz="12" w:space="6"/>
        </w:pBdr>
        <w:spacing w:after="240" w:before="0"/>
      </w:pPr>
      <w:bookmarkStart w:name="cap24" w:id="1"/>
      <w:r>
        <w:rPr>
          <w:rFonts w:ascii="Arial" w:cs="Arial" w:eastAsia="Arial" w:hAnsi="Arial"/>
          <w:b/>
          <w:bCs/>
          <w:color w:val="2F5D3A"/>
          <w:sz w:val="34"/>
          <w:szCs w:val="34"/>
        </w:rPr>
        <w:t xml:space="preserve">24.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7"/>
        <w:gridCol w:w="2010"/>
        <w:gridCol w:w="5491"/>
      </w:tblGrid>
      <w:tr>
        <w:trPr>
          <w:tblHeader/>
        </w:trPr>
        <w:tc>
          <w:tcPr>
            <w:tcW w:type="dxa" w:w="21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4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segnalazioni con data e ora, chi le ha fatte, azione correttiva, prove e rilascio; registro dei test e dei collaudi. Aggiornato a ogni variazione</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del progetto Claude</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Recap del portale in slide (PDF e PowerPoint): metodologia, funzioni, novità, punti aperti, simulatore, piani a pagamento, scelte da prendere</w:t>
            </w:r>
          </w:p>
        </w:tc>
      </w:tr>
    </w:tbl>
    <w:p>
      <w:pPr>
        <w:spacing w:after="160"/>
      </w:pPr>
    </w:p>
    <w:p>
      <w:pPr>
        <w:spacing w:after="140" w:line="300"/>
      </w:pPr>
      <w:r>
        <w:rPr>
          <w:rFonts w:ascii="Arial" w:cs="Arial" w:eastAsia="Arial" w:hAnsi="Arial"/>
          <w:b/>
          <w:bCs/>
          <w:color w:val="1B2118"/>
          <w:sz w:val="21"/>
          <w:szCs w:val="21"/>
        </w:rPr>
        <w:t xml:space="preserve">Documenti ufficiali del Programma.</w:t>
      </w:r>
      <w:r>
        <w:rPr>
          <w:rFonts w:ascii="Arial" w:cs="Arial" w:eastAsia="Arial" w:hAnsi="Arial"/>
          <w:color w:val="1B2118"/>
          <w:sz w:val="21"/>
          <w:szCs w:val="21"/>
        </w:rPr>
        <w:t xml:space="preserve"> In fondo alla pagina Documentazione ci sono gli </w:t>
      </w:r>
      <w:r>
        <w:rPr>
          <w:rFonts w:ascii="Arial" w:cs="Arial" w:eastAsia="Arial" w:hAnsi="Arial"/>
          <w:b/>
          <w:bCs/>
          <w:color w:val="1B2118"/>
          <w:sz w:val="21"/>
          <w:szCs w:val="21"/>
        </w:rPr>
        <w:t xml:space="preserve">8 documenti ufficiali del Programma Carbon WastePrint® versione 1.2</w:t>
      </w:r>
      <w:r>
        <w:rPr>
          <w:rFonts w:ascii="Arial" w:cs="Arial" w:eastAsia="Arial" w:hAnsi="Arial"/>
          <w:color w:val="1B2118"/>
          <w:sz w:val="21"/>
          <w:szCs w:val="21"/>
        </w:rPr>
        <w:t xml:space="preserve"> (04/09/2025): 0. Guida al Programma, 1. Definizioni, 2. Normativa di riferimento, 3. Standard, 4. Metodologia, 5. Politica di reclamo, 6. Schema tariffario, 7. Gestione della qualità dei dati. </w:t>
      </w:r>
      <w:r>
        <w:rPr>
          <w:rFonts w:ascii="Arial" w:cs="Arial" w:eastAsia="Arial" w:hAnsi="Arial"/>
          <w:b/>
          <w:bCs/>
          <w:color w:val="1B2118"/>
          <w:sz w:val="21"/>
          <w:szCs w:val="21"/>
        </w:rPr>
        <w:t xml:space="preserve">Apri PDF</w:t>
      </w:r>
      <w:r>
        <w:rPr>
          <w:rFonts w:ascii="Arial" w:cs="Arial" w:eastAsia="Arial" w:hAnsi="Arial"/>
          <w:color w:val="1B2118"/>
          <w:sz w:val="21"/>
          <w:szCs w:val="21"/>
        </w:rPr>
        <w:t xml:space="preserve"> li apre in una nuova scheda, </w:t>
      </w:r>
      <w:r>
        <w:rPr>
          <w:rFonts w:ascii="Arial" w:cs="Arial" w:eastAsia="Arial" w:hAnsi="Arial"/>
          <w:b/>
          <w:bCs/>
          <w:color w:val="1B2118"/>
          <w:sz w:val="21"/>
          <w:szCs w:val="21"/>
        </w:rPr>
        <w:t xml:space="preserve">Scarica</w:t>
      </w:r>
      <w:r>
        <w:rPr>
          <w:rFonts w:ascii="Arial" w:cs="Arial" w:eastAsia="Arial" w:hAnsi="Arial"/>
          <w:color w:val="1B2118"/>
          <w:sz w:val="21"/>
          <w:szCs w:val="21"/>
        </w:rPr>
        <w:t xml:space="preserve"> li salva. Sono gli stessi pubblicati sulla pagina pubblica del Programma e si aggiornano da Impostazioni → Modelli (categoria «programma»).</w:t>
      </w:r>
    </w:p>
    <w:p>
      <w:pPr>
        <w:spacing w:after="140" w:line="300"/>
      </w:pPr>
      <w:r>
        <w:rPr>
          <w:rFonts w:ascii="Arial" w:cs="Arial" w:eastAsia="Arial" w:hAnsi="Arial"/>
          <w:color w:val="1B2118"/>
          <w:sz w:val="21"/>
          <w:szCs w:val="21"/>
        </w:rPr>
        <w:t xml:space="preserve">Gli Operatori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nella voce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si aggiornano insieme i manuali, il Registro e la Presentazione di riepilogo. Per la presentazione il secondo pulsante è </w:t>
      </w:r>
      <w:r>
        <w:rPr>
          <w:rFonts w:ascii="Arial" w:cs="Arial" w:eastAsia="Arial" w:hAnsi="Arial"/>
          <w:b/>
          <w:bCs/>
          <w:color w:val="1B2118"/>
          <w:sz w:val="21"/>
          <w:szCs w:val="21"/>
        </w:rPr>
        <w:t xml:space="preserve">Scarica PowerPoint</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5" w:id="1"/>
      <w:r>
        <w:rPr>
          <w:rFonts w:ascii="Arial" w:cs="Arial" w:eastAsia="Arial" w:hAnsi="Arial"/>
          <w:b/>
          <w:bCs/>
          <w:color w:val="2F5D3A"/>
          <w:sz w:val="34"/>
          <w:szCs w:val="34"/>
        </w:rPr>
        <w:t xml:space="preserve">25. Notizie CO2: osservatorio sui crediti di carbonio volontari</w:t>
      </w:r>
      <w:bookmarkEnd w:id="1"/>
    </w:p>
    <w:p>
      <w:pPr>
        <w:spacing w:after="140" w:line="300"/>
      </w:pPr>
      <w:r>
        <w:rPr>
          <w:rFonts w:ascii="Arial" w:cs="Arial" w:eastAsia="Arial" w:hAnsi="Arial"/>
          <w:color w:val="1B2118"/>
          <w:sz w:val="21"/>
          <w:szCs w:val="21"/>
        </w:rPr>
        <w:t xml:space="preserve">La voce </w:t>
      </w:r>
      <w:r>
        <w:rPr>
          <w:rFonts w:ascii="Arial" w:cs="Arial" w:eastAsia="Arial" w:hAnsi="Arial"/>
          <w:b/>
          <w:bCs/>
          <w:color w:val="1B2118"/>
          <w:sz w:val="21"/>
          <w:szCs w:val="21"/>
        </w:rPr>
        <w:t xml:space="preserve">Notizie CO2</w:t>
      </w:r>
      <w:r>
        <w:rPr>
          <w:rFonts w:ascii="Arial" w:cs="Arial" w:eastAsia="Arial" w:hAnsi="Arial"/>
          <w:color w:val="1B2118"/>
          <w:sz w:val="21"/>
          <w:szCs w:val="21"/>
        </w:rPr>
        <w:t xml:space="preserve"> del menu, riservata agli Amministratori, raccoglie le notizie dal mondo dei </w:t>
      </w:r>
      <w:r>
        <w:rPr>
          <w:rFonts w:ascii="Arial" w:cs="Arial" w:eastAsia="Arial" w:hAnsi="Arial"/>
          <w:b/>
          <w:bCs/>
          <w:color w:val="1B2118"/>
          <w:sz w:val="21"/>
          <w:szCs w:val="21"/>
        </w:rPr>
        <w:t xml:space="preserve">crediti di carbonio volontari</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mercato volontario;</w:t>
      </w:r>
    </w:p>
    <w:p>
      <w:pPr>
        <w:pStyle w:val="ListParagraph"/>
        <w:numPr>
          <w:ilvl w:val="0"/>
          <w:numId w:val="2"/>
        </w:numPr>
        <w:spacing w:after="70" w:line="290"/>
      </w:pPr>
      <w:r>
        <w:rPr>
          <w:rFonts w:ascii="Arial" w:cs="Arial" w:eastAsia="Arial" w:hAnsi="Arial"/>
          <w:color w:val="1B2118"/>
          <w:sz w:val="21"/>
          <w:szCs w:val="21"/>
        </w:rPr>
        <w:t xml:space="preserve">marketplace e borse di scambio;</w:t>
      </w:r>
    </w:p>
    <w:p>
      <w:pPr>
        <w:pStyle w:val="ListParagraph"/>
        <w:numPr>
          <w:ilvl w:val="0"/>
          <w:numId w:val="2"/>
        </w:numPr>
        <w:spacing w:after="70" w:line="290"/>
      </w:pPr>
      <w:r>
        <w:rPr>
          <w:rFonts w:ascii="Arial" w:cs="Arial" w:eastAsia="Arial" w:hAnsi="Arial"/>
          <w:color w:val="1B2118"/>
          <w:sz w:val="21"/>
          <w:szCs w:val="21"/>
        </w:rPr>
        <w:t xml:space="preserve">prezzi e valori unitari dei crediti scambiati o venduti;</w:t>
      </w:r>
    </w:p>
    <w:p>
      <w:pPr>
        <w:pStyle w:val="ListParagraph"/>
        <w:numPr>
          <w:ilvl w:val="0"/>
          <w:numId w:val="2"/>
        </w:numPr>
        <w:spacing w:after="70" w:line="290"/>
      </w:pPr>
      <w:r>
        <w:rPr>
          <w:rFonts w:ascii="Arial" w:cs="Arial" w:eastAsia="Arial" w:hAnsi="Arial"/>
          <w:color w:val="1B2118"/>
          <w:sz w:val="21"/>
          <w:szCs w:val="21"/>
        </w:rPr>
        <w:t xml:space="preserve">standard e registri;</w:t>
      </w:r>
    </w:p>
    <w:p>
      <w:pPr>
        <w:pStyle w:val="ListParagraph"/>
        <w:numPr>
          <w:ilvl w:val="0"/>
          <w:numId w:val="2"/>
        </w:numPr>
        <w:spacing w:after="70" w:line="290"/>
      </w:pPr>
      <w:r>
        <w:rPr>
          <w:rFonts w:ascii="Arial" w:cs="Arial" w:eastAsia="Arial" w:hAnsi="Arial"/>
          <w:color w:val="1B2118"/>
          <w:sz w:val="21"/>
          <w:szCs w:val="21"/>
        </w:rPr>
        <w:t xml:space="preserve">regole e politiche;</w:t>
      </w:r>
    </w:p>
    <w:p>
      <w:pPr>
        <w:pStyle w:val="ListParagraph"/>
        <w:numPr>
          <w:ilvl w:val="0"/>
          <w:numId w:val="2"/>
        </w:numPr>
        <w:spacing w:after="70" w:line="290"/>
      </w:pPr>
      <w:r>
        <w:rPr>
          <w:rFonts w:ascii="Arial" w:cs="Arial" w:eastAsia="Arial" w:hAnsi="Arial"/>
          <w:color w:val="1B2118"/>
          <w:sz w:val="21"/>
          <w:szCs w:val="21"/>
        </w:rPr>
        <w:t xml:space="preserve">progetti, in particolare nel settore dei rifiuti e dell'economia circolare.</w:t>
      </w:r>
    </w:p>
    <w:p>
      <w:pPr>
        <w:spacing w:after="140" w:line="300"/>
      </w:pPr>
      <w:r>
        <w:rPr>
          <w:rFonts w:ascii="Arial" w:cs="Arial" w:eastAsia="Arial" w:hAnsi="Arial"/>
          <w:b/>
          <w:bCs/>
          <w:color w:val="1B2118"/>
          <w:sz w:val="21"/>
          <w:szCs w:val="21"/>
        </w:rPr>
        <w:t xml:space="preserve">Come funziona.</w:t>
      </w:r>
      <w:r>
        <w:rPr>
          <w:rFonts w:ascii="Arial" w:cs="Arial" w:eastAsia="Arial" w:hAnsi="Arial"/>
          <w:color w:val="1B2118"/>
          <w:sz w:val="21"/>
          <w:szCs w:val="21"/>
        </w:rPr>
        <w:t xml:space="preserve"> Ogni 2 ore (al minuto 7 delle ore pari, ora del server) il portale cerca le notizie degli ultimi 7 giorni:</w:t>
      </w:r>
    </w:p>
    <w:p>
      <w:pPr>
        <w:pStyle w:val="ListParagraph"/>
        <w:numPr>
          <w:ilvl w:val="0"/>
          <w:numId w:val="2"/>
        </w:numPr>
        <w:spacing w:after="70" w:line="290"/>
      </w:pPr>
      <w:r>
        <w:rPr>
          <w:rFonts w:ascii="Arial" w:cs="Arial" w:eastAsia="Arial" w:hAnsi="Arial"/>
          <w:color w:val="1B2118"/>
          <w:sz w:val="21"/>
          <w:szCs w:val="21"/>
        </w:rPr>
        <w:t xml:space="preserve">su Bing News, con 12 ricerche mirate in italiano e in inglese;</w:t>
      </w:r>
    </w:p>
    <w:p>
      <w:pPr>
        <w:pStyle w:val="ListParagraph"/>
        <w:numPr>
          <w:ilvl w:val="0"/>
          <w:numId w:val="2"/>
        </w:numPr>
        <w:spacing w:after="70" w:line="290"/>
      </w:pPr>
      <w:r>
        <w:rPr>
          <w:rFonts w:ascii="Arial" w:cs="Arial" w:eastAsia="Arial" w:hAnsi="Arial"/>
          <w:color w:val="1B2118"/>
          <w:sz w:val="21"/>
          <w:szCs w:val="21"/>
        </w:rPr>
        <w:t xml:space="preserve">su quattro siti specializzati: Carbon Herald, CarbonCredits.com, Ecosystem Marketplace e Verra;</w:t>
      </w:r>
    </w:p>
    <w:p>
      <w:pPr>
        <w:pStyle w:val="ListParagraph"/>
        <w:numPr>
          <w:ilvl w:val="0"/>
          <w:numId w:val="2"/>
        </w:numPr>
        <w:spacing w:after="70" w:line="290"/>
      </w:pPr>
      <w:r>
        <w:rPr>
          <w:rFonts w:ascii="Arial" w:cs="Arial" w:eastAsia="Arial" w:hAnsi="Arial"/>
          <w:color w:val="1B2118"/>
          <w:sz w:val="21"/>
          <w:szCs w:val="21"/>
        </w:rPr>
        <w:t xml:space="preserve">su otto siti di notizie ambientali: Rinnovabili.it, QualEnergia, GreenReport, ESGnews, LifeGate, Climate Home News, edie, BusinessGreen (Rinnovabili.it e GreenReport attraverso Bing News, perché non si leggono direttamente). Da questi passano al controllo solo le notizie che parlano espressamente di crediti, compensazioni o mercati del carbonio.</w:t>
      </w:r>
    </w:p>
    <w:p>
      <w:pPr>
        <w:spacing w:after="140" w:line="300"/>
      </w:pPr>
      <w:r>
        <w:rPr>
          <w:rFonts w:ascii="Arial" w:cs="Arial" w:eastAsia="Arial" w:hAnsi="Arial"/>
          <w:color w:val="1B2118"/>
          <w:sz w:val="21"/>
          <w:szCs w:val="21"/>
        </w:rPr>
        <w:t xml:space="preserve">Google News non si usa: blocca ogni richiesta che arriva dai server del portale.</w:t>
      </w:r>
    </w:p>
    <w:p>
      <w:pPr>
        <w:spacing w:after="140" w:line="300"/>
      </w:pPr>
      <w:r>
        <w:rPr>
          <w:rFonts w:ascii="Arial" w:cs="Arial" w:eastAsia="Arial" w:hAnsi="Arial"/>
          <w:color w:val="1B2118"/>
          <w:sz w:val="21"/>
          <w:szCs w:val="21"/>
        </w:rPr>
        <w:t xml:space="preserve">Ogni notizia nuova passa da un primo filtro sulle parole chiave e poi la controlla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che decide se è </w:t>
      </w:r>
      <w:r>
        <w:rPr>
          <w:rFonts w:ascii="Arial" w:cs="Arial" w:eastAsia="Arial" w:hAnsi="Arial"/>
          <w:b/>
          <w:bCs/>
          <w:color w:val="1B2118"/>
          <w:sz w:val="21"/>
          <w:szCs w:val="21"/>
        </w:rPr>
        <w:t xml:space="preserve">attinente</w:t>
      </w:r>
      <w:r>
        <w:rPr>
          <w:rFonts w:ascii="Arial" w:cs="Arial" w:eastAsia="Arial" w:hAnsi="Arial"/>
          <w:color w:val="1B2118"/>
          <w:sz w:val="21"/>
          <w:szCs w:val="21"/>
        </w:rPr>
        <w:t xml:space="preserve"> al mondo dei crediti di carbonio volontari, oggetto del portale, e prepara:</w:t>
      </w:r>
    </w:p>
    <w:p>
      <w:pPr>
        <w:pStyle w:val="ListParagraph"/>
        <w:numPr>
          <w:ilvl w:val="0"/>
          <w:numId w:val="2"/>
        </w:numPr>
        <w:spacing w:after="70" w:line="290"/>
      </w:pPr>
      <w:r>
        <w:rPr>
          <w:rFonts w:ascii="Arial" w:cs="Arial" w:eastAsia="Arial" w:hAnsi="Arial"/>
          <w:color w:val="1B2118"/>
          <w:sz w:val="21"/>
          <w:szCs w:val="21"/>
        </w:rPr>
        <w:t xml:space="preserve">il titolo e una sintesi di 2-3 frasi in italiano;</w:t>
      </w:r>
    </w:p>
    <w:p>
      <w:pPr>
        <w:pStyle w:val="ListParagraph"/>
        <w:numPr>
          <w:ilvl w:val="0"/>
          <w:numId w:val="2"/>
        </w:numPr>
        <w:spacing w:after="70" w:line="290"/>
      </w:pPr>
      <w:r>
        <w:rPr>
          <w:rFonts w:ascii="Arial" w:cs="Arial" w:eastAsia="Arial" w:hAnsi="Arial"/>
          <w:color w:val="1B2118"/>
          <w:sz w:val="21"/>
          <w:szCs w:val="21"/>
        </w:rPr>
        <w:t xml:space="preserve">la categoria;</w:t>
      </w:r>
    </w:p>
    <w:p>
      <w:pPr>
        <w:pStyle w:val="ListParagraph"/>
        <w:numPr>
          <w:ilvl w:val="0"/>
          <w:numId w:val="2"/>
        </w:numPr>
        <w:spacing w:after="70" w:line="290"/>
      </w:pPr>
      <w:r>
        <w:rPr>
          <w:rFonts w:ascii="Arial" w:cs="Arial" w:eastAsia="Arial" w:hAnsi="Arial"/>
          <w:color w:val="1B2118"/>
          <w:sz w:val="21"/>
          <w:szCs w:val="21"/>
        </w:rPr>
        <w:t xml:space="preserve">la rilevanza da 1 a 5 per il Programma CWP (5 = impatto diretto: crediti dal settore dei rifiuti, mercato italiano, prezzi di crediti simili);</w:t>
      </w:r>
    </w:p>
    <w:p>
      <w:pPr>
        <w:pStyle w:val="ListParagraph"/>
        <w:numPr>
          <w:ilvl w:val="0"/>
          <w:numId w:val="2"/>
        </w:numPr>
        <w:spacing w:after="70" w:line="290"/>
      </w:pPr>
      <w:r>
        <w:rPr>
          <w:rFonts w:ascii="Arial" w:cs="Arial" w:eastAsia="Arial" w:hAnsi="Arial"/>
          <w:color w:val="1B2118"/>
          <w:sz w:val="21"/>
          <w:szCs w:val="21"/>
        </w:rPr>
        <w:t xml:space="preserve">i prezzi citati.</w:t>
      </w:r>
    </w:p>
    <w:p>
      <w:pPr>
        <w:spacing w:after="140" w:line="300"/>
      </w:pPr>
      <w:r>
        <w:rPr>
          <w:rFonts w:ascii="Arial" w:cs="Arial" w:eastAsia="Arial" w:hAnsi="Arial"/>
          <w:b/>
          <w:bCs/>
          <w:color w:val="1B2118"/>
          <w:sz w:val="21"/>
          <w:szCs w:val="21"/>
        </w:rPr>
        <w:t xml:space="preserve">Cosa non è attinente:</w:t>
      </w:r>
    </w:p>
    <w:p>
      <w:pPr>
        <w:pStyle w:val="ListParagraph"/>
        <w:numPr>
          <w:ilvl w:val="0"/>
          <w:numId w:val="2"/>
        </w:numPr>
        <w:spacing w:after="70" w:line="290"/>
      </w:pPr>
      <w:r>
        <w:rPr>
          <w:rFonts w:ascii="Arial" w:cs="Arial" w:eastAsia="Arial" w:hAnsi="Arial"/>
          <w:color w:val="1B2118"/>
          <w:sz w:val="21"/>
          <w:szCs w:val="21"/>
        </w:rPr>
        <w:t xml:space="preserve">il solo mercato regolato EU ETS, senza legame con i crediti volontari;</w:t>
      </w:r>
    </w:p>
    <w:p>
      <w:pPr>
        <w:pStyle w:val="ListParagraph"/>
        <w:numPr>
          <w:ilvl w:val="0"/>
          <w:numId w:val="2"/>
        </w:numPr>
        <w:spacing w:after="70" w:line="290"/>
      </w:pPr>
      <w:r>
        <w:rPr>
          <w:rFonts w:ascii="Arial" w:cs="Arial" w:eastAsia="Arial" w:hAnsi="Arial"/>
          <w:color w:val="1B2118"/>
          <w:sz w:val="21"/>
          <w:szCs w:val="21"/>
        </w:rPr>
        <w:t xml:space="preserve">certificati verdi o bianchi del GSE e garanzie d'origine, che sono strumenti dell'energia diversi dai crediti di carbonio;</w:t>
      </w:r>
    </w:p>
    <w:p>
      <w:pPr>
        <w:pStyle w:val="ListParagraph"/>
        <w:numPr>
          <w:ilvl w:val="0"/>
          <w:numId w:val="2"/>
        </w:numPr>
        <w:spacing w:after="70" w:line="290"/>
      </w:pPr>
      <w:r>
        <w:rPr>
          <w:rFonts w:ascii="Arial" w:cs="Arial" w:eastAsia="Arial" w:hAnsi="Arial"/>
          <w:color w:val="1B2118"/>
          <w:sz w:val="21"/>
          <w:szCs w:val="21"/>
        </w:rPr>
        <w:t xml:space="preserve">notizie generiche su clima, energia o ESG.</w:t>
      </w:r>
    </w:p>
    <w:p>
      <w:pPr>
        <w:spacing w:after="140" w:line="300"/>
      </w:pPr>
      <w:r>
        <w:rPr>
          <w:rFonts w:ascii="Arial" w:cs="Arial" w:eastAsia="Arial" w:hAnsi="Arial"/>
          <w:b/>
          <w:bCs/>
          <w:color w:val="1B2118"/>
          <w:sz w:val="21"/>
          <w:szCs w:val="21"/>
        </w:rPr>
        <w:t xml:space="preserve">Pallino verde.</w:t>
      </w:r>
      <w:r>
        <w:rPr>
          <w:rFonts w:ascii="Arial" w:cs="Arial" w:eastAsia="Arial" w:hAnsi="Arial"/>
          <w:color w:val="1B2118"/>
          <w:sz w:val="21"/>
          <w:szCs w:val="21"/>
        </w:rPr>
        <w:t xml:space="preserve"> Quando arrivano notizie nuove dall'ultima volta che avete aperto la sezione, nel menu compare un </w:t>
      </w:r>
      <w:r>
        <w:rPr>
          <w:rFonts w:ascii="Arial" w:cs="Arial" w:eastAsia="Arial" w:hAnsi="Arial"/>
          <w:b/>
          <w:bCs/>
          <w:color w:val="1B2118"/>
          <w:sz w:val="21"/>
          <w:szCs w:val="21"/>
        </w:rPr>
        <w:t xml:space="preserve">pallino verde in alto a destra di «Notizie CO2»</w:t>
      </w:r>
      <w:r>
        <w:rPr>
          <w:rFonts w:ascii="Arial" w:cs="Arial" w:eastAsia="Arial" w:hAnsi="Arial"/>
          <w:color w:val="1B2118"/>
          <w:sz w:val="21"/>
          <w:szCs w:val="21"/>
        </w:rPr>
        <w:t xml:space="preserve">; si spegne appena entrate nella sezione. Ogni Amministratore ha il suo pallino, uguale su ogni computer.</w:t>
      </w:r>
    </w:p>
    <w:p>
      <w:pPr>
        <w:spacing w:after="140" w:line="300"/>
      </w:pPr>
      <w:r>
        <w:rPr>
          <w:rFonts w:ascii="Arial" w:cs="Arial" w:eastAsia="Arial" w:hAnsi="Arial"/>
          <w:b/>
          <w:bCs/>
          <w:color w:val="1B2118"/>
          <w:sz w:val="21"/>
          <w:szCs w:val="21"/>
        </w:rPr>
        <w:t xml:space="preserve">La pagina.</w:t>
      </w:r>
    </w:p>
    <w:p>
      <w:pPr>
        <w:pStyle w:val="ListParagraph"/>
        <w:numPr>
          <w:ilvl w:val="0"/>
          <w:numId w:val="2"/>
        </w:numPr>
        <w:spacing w:after="70" w:line="290"/>
      </w:pPr>
      <w:r>
        <w:rPr>
          <w:rFonts w:ascii="Arial" w:cs="Arial" w:eastAsia="Arial" w:hAnsi="Arial"/>
          <w:color w:val="1B2118"/>
          <w:sz w:val="21"/>
          <w:szCs w:val="21"/>
        </w:rPr>
        <w:t xml:space="preserve">In alto: la </w:t>
      </w:r>
      <w:r>
        <w:rPr>
          <w:rFonts w:ascii="Arial" w:cs="Arial" w:eastAsia="Arial" w:hAnsi="Arial"/>
          <w:b/>
          <w:bCs/>
          <w:color w:val="1B2118"/>
          <w:sz w:val="21"/>
          <w:szCs w:val="21"/>
        </w:rPr>
        <w:t xml:space="preserve">data dell'ultima ricerca</w:t>
      </w:r>
      <w:r>
        <w:rPr>
          <w:rFonts w:ascii="Arial" w:cs="Arial" w:eastAsia="Arial" w:hAnsi="Arial"/>
          <w:color w:val="1B2118"/>
          <w:sz w:val="21"/>
          <w:szCs w:val="21"/>
        </w:rPr>
        <w:t xml:space="preserve"> e della prossima, il pulsante </w:t>
      </w:r>
      <w:r>
        <w:rPr>
          <w:rFonts w:ascii="Arial" w:cs="Arial" w:eastAsia="Arial" w:hAnsi="Arial"/>
          <w:b/>
          <w:bCs/>
          <w:color w:val="1B2118"/>
          <w:sz w:val="21"/>
          <w:szCs w:val="21"/>
        </w:rPr>
        <w:t xml:space="preserve">Registro ricerche</w:t>
      </w:r>
      <w:r>
        <w:rPr>
          <w:rFonts w:ascii="Arial" w:cs="Arial" w:eastAsia="Arial" w:hAnsi="Arial"/>
          <w:color w:val="1B2118"/>
          <w:sz w:val="21"/>
          <w:szCs w:val="21"/>
        </w:rPr>
        <w:t xml:space="preserve"> (ultime ricerche con esito e numeri) e </w:t>
      </w:r>
      <w:r>
        <w:rPr>
          <w:rFonts w:ascii="Arial" w:cs="Arial" w:eastAsia="Arial" w:hAnsi="Arial"/>
          <w:b/>
          <w:bCs/>
          <w:color w:val="1B2118"/>
          <w:sz w:val="21"/>
          <w:szCs w:val="21"/>
        </w:rPr>
        <w:t xml:space="preserve">Aggiorna ora</w:t>
      </w:r>
      <w:r>
        <w:rPr>
          <w:rFonts w:ascii="Arial" w:cs="Arial" w:eastAsia="Arial" w:hAnsi="Arial"/>
          <w:color w:val="1B2118"/>
          <w:sz w:val="21"/>
          <w:szCs w:val="21"/>
        </w:rPr>
        <w:t xml:space="preserve">, che lancia subito una ricerca (al massimo una ogni 10 minuti; servono 20-60 secondi).</w:t>
      </w:r>
    </w:p>
    <w:p>
      <w:pPr>
        <w:pStyle w:val="ListParagraph"/>
        <w:numPr>
          <w:ilvl w:val="0"/>
          <w:numId w:val="2"/>
        </w:numPr>
        <w:spacing w:after="70" w:line="29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Prezzi citati negli ultimi 30 giorni</w:t>
      </w:r>
      <w:r>
        <w:rPr>
          <w:rFonts w:ascii="Arial" w:cs="Arial" w:eastAsia="Arial" w:hAnsi="Arial"/>
          <w:color w:val="1B2118"/>
          <w:sz w:val="21"/>
          <w:szCs w:val="21"/>
        </w:rPr>
        <w:t xml:space="preserve"> raccoglie i valori unitari trovati negli articoli. Sono valori riportati dalle fonti e non verificati: controllate sempre l'articolo.</w:t>
      </w:r>
    </w:p>
    <w:p>
      <w:pPr>
        <w:pStyle w:val="ListParagraph"/>
        <w:numPr>
          <w:ilvl w:val="0"/>
          <w:numId w:val="2"/>
        </w:numPr>
        <w:spacing w:after="70" w:line="290"/>
      </w:pPr>
      <w:r>
        <w:rPr>
          <w:rFonts w:ascii="Arial" w:cs="Arial" w:eastAsia="Arial" w:hAnsi="Arial"/>
          <w:b/>
          <w:bCs/>
          <w:color w:val="1B2118"/>
          <w:sz w:val="21"/>
          <w:szCs w:val="21"/>
        </w:rPr>
        <w:t xml:space="preserve">Filtri:</w:t>
      </w:r>
      <w:r>
        <w:rPr>
          <w:rFonts w:ascii="Arial" w:cs="Arial" w:eastAsia="Arial" w:hAnsi="Arial"/>
          <w:color w:val="1B2118"/>
          <w:sz w:val="21"/>
          <w:szCs w:val="21"/>
        </w:rPr>
        <w:t xml:space="preserve"> categoria (Prezzi e scambi, Marketplace e borse, Standard e registri, Regole e politiche, Progetti, Mercato e domanda, Altro), ricerca libera, periodo e rilevanza minima.</w:t>
      </w:r>
    </w:p>
    <w:p>
      <w:pPr>
        <w:pStyle w:val="ListParagraph"/>
        <w:numPr>
          <w:ilvl w:val="0"/>
          <w:numId w:val="2"/>
        </w:numPr>
        <w:spacing w:after="70" w:line="290"/>
      </w:pPr>
      <w:r>
        <w:rPr>
          <w:rFonts w:ascii="Arial" w:cs="Arial" w:eastAsia="Arial" w:hAnsi="Arial"/>
          <w:color w:val="1B2118"/>
          <w:sz w:val="21"/>
          <w:szCs w:val="21"/>
        </w:rPr>
        <w:t xml:space="preserve">Ogni notizia si apre nella fonte originale con il titolo. </w:t>
      </w:r>
      <w:r>
        <w:rPr>
          <w:rFonts w:ascii="Arial" w:cs="Arial" w:eastAsia="Arial" w:hAnsi="Arial"/>
          <w:b/>
          <w:bCs/>
          <w:color w:val="1B2118"/>
          <w:sz w:val="21"/>
          <w:szCs w:val="21"/>
        </w:rPr>
        <w:t xml:space="preserve">Nascondi</w:t>
      </w:r>
      <w:r>
        <w:rPr>
          <w:rFonts w:ascii="Arial" w:cs="Arial" w:eastAsia="Arial" w:hAnsi="Arial"/>
          <w:color w:val="1B2118"/>
          <w:sz w:val="21"/>
          <w:szCs w:val="21"/>
        </w:rPr>
        <w:t xml:space="preserve"> la toglie dall'elenco per tutti gli Amministratori; con «Mostra le nascoste» si rimette.</w:t>
      </w:r>
    </w:p>
    <w:p>
      <w:pPr>
        <w:pStyle w:val="ListParagraph"/>
        <w:numPr>
          <w:ilvl w:val="0"/>
          <w:numId w:val="2"/>
        </w:numPr>
        <w:spacing w:after="70" w:line="290"/>
      </w:pPr>
      <w:r>
        <w:rPr>
          <w:rFonts w:ascii="Arial" w:cs="Arial" w:eastAsia="Arial" w:hAnsi="Arial"/>
          <w:b/>
          <w:bCs/>
          <w:color w:val="1B2118"/>
          <w:sz w:val="21"/>
          <w:szCs w:val="21"/>
        </w:rPr>
        <w:t xml:space="preserve">Mostra le scartate dal filtro</w:t>
      </w:r>
      <w:r>
        <w:rPr>
          <w:rFonts w:ascii="Arial" w:cs="Arial" w:eastAsia="Arial" w:hAnsi="Arial"/>
          <w:color w:val="1B2118"/>
          <w:sz w:val="21"/>
          <w:szCs w:val="21"/>
        </w:rPr>
        <w:t xml:space="preserve"> fa vedere anche le notizie giudicate non attinenti, con il motivo: serve a controllare il filtro. Se una notizia utile è stata scartata, segnalatelo per correggere le istruzioni del filtro.</w:t>
      </w:r>
    </w:p>
    <w:p>
      <w:pPr>
        <w:spacing w:after="140" w:line="300"/>
      </w:pPr>
      <w:r>
        <w:rPr>
          <w:rFonts w:ascii="Arial" w:cs="Arial" w:eastAsia="Arial" w:hAnsi="Arial"/>
          <w:b/>
          <w:bCs/>
          <w:color w:val="1B2118"/>
          <w:sz w:val="21"/>
          <w:szCs w:val="21"/>
        </w:rPr>
        <w:t xml:space="preserve">Costi e sicurezza.</w:t>
      </w:r>
    </w:p>
    <w:p>
      <w:pPr>
        <w:pStyle w:val="ListParagraph"/>
        <w:numPr>
          <w:ilvl w:val="0"/>
          <w:numId w:val="2"/>
        </w:numPr>
        <w:spacing w:after="70" w:line="290"/>
      </w:pPr>
      <w:r>
        <w:rPr>
          <w:rFonts w:ascii="Arial" w:cs="Arial" w:eastAsia="Arial" w:hAnsi="Arial"/>
          <w:color w:val="1B2118"/>
          <w:sz w:val="21"/>
          <w:szCs w:val="21"/>
        </w:rPr>
        <w:t xml:space="preserve">Il controllo usa la stessa chiave Claude dell'assistente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con il modello Haiku: legge solo titoli ed estratti brevi, con una spesa di pochi centesimi al giorno.</w:t>
      </w:r>
    </w:p>
    <w:p>
      <w:pPr>
        <w:pStyle w:val="ListParagraph"/>
        <w:numPr>
          <w:ilvl w:val="0"/>
          <w:numId w:val="2"/>
        </w:numPr>
        <w:spacing w:after="70" w:line="290"/>
      </w:pPr>
      <w:r>
        <w:rPr>
          <w:rFonts w:ascii="Arial" w:cs="Arial" w:eastAsia="Arial" w:hAnsi="Arial"/>
          <w:color w:val="1B2118"/>
          <w:sz w:val="21"/>
          <w:szCs w:val="21"/>
        </w:rPr>
        <w:t xml:space="preserve">Le notizie e il registro delle ricerche si leggono solo con un accesso da Amministratore (regole del database, script 36).</w:t>
      </w:r>
    </w:p>
    <w:p>
      <w:pPr>
        <w:pStyle w:val="ListParagraph"/>
        <w:numPr>
          <w:ilvl w:val="0"/>
          <w:numId w:val="2"/>
        </w:numPr>
        <w:spacing w:after="70" w:line="290"/>
      </w:pPr>
      <w:r>
        <w:rPr>
          <w:rFonts w:ascii="Arial" w:cs="Arial" w:eastAsia="Arial" w:hAnsi="Arial"/>
          <w:color w:val="1B2118"/>
          <w:sz w:val="21"/>
          <w:szCs w:val="21"/>
        </w:rPr>
        <w:t xml:space="preserve">La funzione del server accetta al massimo una ricerca ogni 100 minuti da chi non è Amministratore: una chiamata esterna non può far spendere crediti.</w:t>
      </w:r>
    </w:p>
    <w:p>
      <w:pPr>
        <w:pStyle w:val="Heading1"/>
        <w:pageBreakBefore/>
        <w:pBdr>
          <w:bottom w:val="single" w:color="2F5D3A" w:sz="12" w:space="6"/>
        </w:pBdr>
        <w:spacing w:after="240" w:before="0"/>
      </w:pPr>
      <w:bookmarkStart w:name="cap26" w:id="1"/>
      <w:r>
        <w:rPr>
          <w:rFonts w:ascii="Arial" w:cs="Arial" w:eastAsia="Arial" w:hAnsi="Arial"/>
          <w:b/>
          <w:bCs/>
          <w:color w:val="2F5D3A"/>
          <w:sz w:val="34"/>
          <w:szCs w:val="34"/>
        </w:rPr>
        <w:t xml:space="preserve">26. Marketing: Comuni, gestori e campagne</w:t>
      </w:r>
      <w:bookmarkEnd w:id="1"/>
    </w:p>
    <w:p>
      <w:pPr>
        <w:spacing w:after="140" w:line="30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Marketing</w:t>
      </w:r>
      <w:r>
        <w:rPr>
          <w:rFonts w:ascii="Arial" w:cs="Arial" w:eastAsia="Arial" w:hAnsi="Arial"/>
          <w:color w:val="1B2118"/>
          <w:sz w:val="21"/>
          <w:szCs w:val="21"/>
        </w:rPr>
        <w:t xml:space="preserve"> (solo Amministratori). Serve a far conoscere il Programma ai Comuni e ai gestori del servizio rifiuti e a raccogliere le richieste di registrazione.</w:t>
      </w:r>
    </w:p>
    <w:p>
      <w:pPr>
        <w:pStyle w:val="Heading2"/>
        <w:keepNext/>
        <w:spacing w:after="120" w:before="240"/>
      </w:pPr>
      <w:r>
        <w:rPr>
          <w:rFonts w:ascii="Arial" w:cs="Arial" w:eastAsia="Arial" w:hAnsi="Arial"/>
          <w:b/>
          <w:bCs/>
          <w:color w:val="2F5D3A"/>
          <w:sz w:val="25"/>
          <w:szCs w:val="25"/>
        </w:rPr>
        <w:t xml:space="preserve">Le banche dati</w:t>
      </w:r>
    </w:p>
    <w:p>
      <w:pPr>
        <w:pStyle w:val="ListParagraph"/>
        <w:numPr>
          <w:ilvl w:val="0"/>
          <w:numId w:val="2"/>
        </w:numPr>
        <w:spacing w:after="70" w:line="290"/>
      </w:pPr>
      <w:r>
        <w:rPr>
          <w:rFonts w:ascii="Arial" w:cs="Arial" w:eastAsia="Arial" w:hAnsi="Arial"/>
          <w:b/>
          <w:bCs/>
          <w:color w:val="1B2118"/>
          <w:sz w:val="21"/>
          <w:szCs w:val="21"/>
        </w:rPr>
        <w:t xml:space="preserve">Comuni</w:t>
      </w:r>
      <w:r>
        <w:rPr>
          <w:rFonts w:ascii="Arial" w:cs="Arial" w:eastAsia="Arial" w:hAnsi="Arial"/>
          <w:color w:val="1B2118"/>
          <w:sz w:val="21"/>
          <w:szCs w:val="21"/>
        </w:rPr>
        <w:t xml:space="preserve">: tutti i Comuni italiani con regione, provincia e abitanti; PEC, email generica, sito e referenti (sindaco, responsabili di tributi, ambiente, ufficio finanziario e tecnico) dall'Indice dei domicili digitali della PA (IndicePA).</w:t>
      </w:r>
    </w:p>
    <w:p>
      <w:pPr>
        <w:pStyle w:val="ListParagraph"/>
        <w:numPr>
          <w:ilvl w:val="0"/>
          <w:numId w:val="2"/>
        </w:numPr>
        <w:spacing w:after="70" w:line="290"/>
      </w:pPr>
      <w:r>
        <w:rPr>
          <w:rFonts w:ascii="Arial" w:cs="Arial" w:eastAsia="Arial" w:hAnsi="Arial"/>
          <w:b/>
          <w:bCs/>
          <w:color w:val="1B2118"/>
          <w:sz w:val="21"/>
          <w:szCs w:val="21"/>
        </w:rPr>
        <w:t xml:space="preserve">Gestori</w:t>
      </w:r>
      <w:r>
        <w:rPr>
          <w:rFonts w:ascii="Arial" w:cs="Arial" w:eastAsia="Arial" w:hAnsi="Arial"/>
          <w:color w:val="1B2118"/>
          <w:sz w:val="21"/>
          <w:szCs w:val="21"/>
        </w:rPr>
        <w:t xml:space="preserve">: le imprese iscritte all'Albo Nazionale Gestori Ambientali in categoria 1 (raccolta e trasporto dei rifiuti urbani), pubbliche e private, con le attività svolte (raccolta, gestione della tariffa), PEC, email e referenti (direttore tecnico, direttore generale, amministratore).</w:t>
      </w:r>
    </w:p>
    <w:p>
      <w:pPr>
        <w:spacing w:after="140" w:line="300"/>
      </w:pPr>
      <w:r>
        <w:rPr>
          <w:rFonts w:ascii="Arial" w:cs="Arial" w:eastAsia="Arial" w:hAnsi="Arial"/>
          <w:color w:val="1B2118"/>
          <w:sz w:val="21"/>
          <w:szCs w:val="21"/>
        </w:rPr>
        <w:t xml:space="preserve">Filtrate per regione, provincia, abitanti, «con email generica», natura e attività; cercate per nome. Aprendo una riga si vede la scheda: potete correggere email, sito, attività e note e aggiungere o togliere referenti (per ognuno indicate la fonte, per esempio il sito dell'ente).</w:t>
      </w:r>
    </w:p>
    <w:p>
      <w:pPr>
        <w:pStyle w:val="Heading2"/>
        <w:keepNext/>
        <w:spacing w:after="120" w:before="240"/>
      </w:pPr>
      <w:r>
        <w:rPr>
          <w:rFonts w:ascii="Arial" w:cs="Arial" w:eastAsia="Arial" w:hAnsi="Arial"/>
          <w:b/>
          <w:bCs/>
          <w:color w:val="2F5D3A"/>
          <w:sz w:val="25"/>
          <w:szCs w:val="25"/>
        </w:rPr>
        <w:t xml:space="preserve">Aggiornare le banche dati</w:t>
      </w:r>
    </w:p>
    <w:p>
      <w:pPr>
        <w:spacing w:after="140" w:line="300"/>
      </w:pPr>
      <w:r>
        <w:rPr>
          <w:rFonts w:ascii="Arial" w:cs="Arial" w:eastAsia="Arial" w:hAnsi="Arial"/>
          <w:color w:val="1B2118"/>
          <w:sz w:val="21"/>
          <w:szCs w:val="21"/>
        </w:rPr>
        <w:t xml:space="preserve">Scheda </w:t>
      </w:r>
      <w:r>
        <w:rPr>
          <w:rFonts w:ascii="Arial" w:cs="Arial" w:eastAsia="Arial" w:hAnsi="Arial"/>
          <w:b/>
          <w:bCs/>
          <w:color w:val="1B2118"/>
          <w:sz w:val="21"/>
          <w:szCs w:val="21"/>
        </w:rPr>
        <w:t xml:space="preserve">Importazioni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Aggiorna i Comuni</w:t>
      </w:r>
      <w:r>
        <w:rPr>
          <w:rFonts w:ascii="Arial" w:cs="Arial" w:eastAsia="Arial" w:hAnsi="Arial"/>
          <w:color w:val="1B2118"/>
          <w:sz w:val="21"/>
          <w:szCs w:val="21"/>
        </w:rPr>
        <w:t xml:space="preserve"> (qualche minuto: elenco ISTAT, poi IndicePA e gli uffici dei Comuni a blocchi di 400) e </w:t>
      </w:r>
      <w:r>
        <w:rPr>
          <w:rFonts w:ascii="Arial" w:cs="Arial" w:eastAsia="Arial" w:hAnsi="Arial"/>
          <w:b/>
          <w:bCs/>
          <w:color w:val="1B2118"/>
          <w:sz w:val="21"/>
          <w:szCs w:val="21"/>
        </w:rPr>
        <w:t xml:space="preserve">Aggiorna i gestori</w:t>
      </w:r>
      <w:r>
        <w:rPr>
          <w:rFonts w:ascii="Arial" w:cs="Arial" w:eastAsia="Arial" w:hAnsi="Arial"/>
          <w:color w:val="1B2118"/>
          <w:sz w:val="21"/>
          <w:szCs w:val="21"/>
        </w:rPr>
        <w:t xml:space="preserve"> (tutte le sezioni dell'Albo o una sola, una provincia alla volta: circa cinque minuti in tutto). Se IndicePA non risponde (capita: «App offline») ripetete l'aggiornamento più tardi: i dati già letti restano. Il diario mostra cosa è stato letto. Le modifiche fatte a mano restano, salvo nuovi valori dalla stessa fonte. Per i gestori privati le attività e i referenti si completano dalle schede, verificando sui loro siti.</w:t>
      </w:r>
    </w:p>
    <w:p>
      <w:pPr>
        <w:pStyle w:val="Heading2"/>
        <w:keepNext/>
        <w:spacing w:after="120" w:before="240"/>
      </w:pPr>
      <w:r>
        <w:rPr>
          <w:rFonts w:ascii="Arial" w:cs="Arial" w:eastAsia="Arial" w:hAnsi="Arial"/>
          <w:b/>
          <w:bCs/>
          <w:color w:val="2F5D3A"/>
          <w:sz w:val="25"/>
          <w:szCs w:val="25"/>
        </w:rPr>
        <w:t xml:space="preserve">Creare e inviare una campagna</w:t>
      </w:r>
    </w:p>
    <w:p>
      <w:pPr>
        <w:pStyle w:val="ListParagraph"/>
        <w:numPr>
          <w:ilvl w:val="0"/>
          <w:numId w:val="42"/>
        </w:numPr>
        <w:spacing w:after="70" w:line="290"/>
      </w:pPr>
      <w:r>
        <w:rPr>
          <w:rFonts w:ascii="Arial" w:cs="Arial" w:eastAsia="Arial" w:hAnsi="Arial"/>
          <w:color w:val="1B2118"/>
          <w:sz w:val="21"/>
          <w:szCs w:val="21"/>
        </w:rPr>
        <w:t xml:space="preserve">Scheda </w:t>
      </w:r>
      <w:r>
        <w:rPr>
          <w:rFonts w:ascii="Arial" w:cs="Arial" w:eastAsia="Arial" w:hAnsi="Arial"/>
          <w:b/>
          <w:bCs/>
          <w:color w:val="1B2118"/>
          <w:sz w:val="21"/>
          <w:szCs w:val="21"/>
        </w:rPr>
        <w:t xml:space="preserve">Campagne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Nuova campagna</w:t>
      </w:r>
      <w:r>
        <w:rPr>
          <w:rFonts w:ascii="Arial" w:cs="Arial" w:eastAsia="Arial" w:hAnsi="Arial"/>
          <w:color w:val="1B2118"/>
          <w:sz w:val="21"/>
          <w:szCs w:val="21"/>
        </w:rPr>
        <w:t xml:space="preserve">: titolo interno, oggetto dell'email, testo (paragrafi separati da una riga vuota) e grafica dell'intestazione. A destra l'anteprima: sotto il vostro testo l'email aggiunge il riquadro «7, 10 o 21 anni» e il pulsante </w:t>
      </w:r>
      <w:r>
        <w:rPr>
          <w:rFonts w:ascii="Arial" w:cs="Arial" w:eastAsia="Arial" w:hAnsi="Arial"/>
          <w:b/>
          <w:bCs/>
          <w:color w:val="1B2118"/>
          <w:sz w:val="21"/>
          <w:szCs w:val="21"/>
        </w:rPr>
        <w:t xml:space="preserve">Approfondisci e simula il tuo Comune</w:t>
      </w:r>
      <w:r>
        <w:rPr>
          <w:rFonts w:ascii="Arial" w:cs="Arial" w:eastAsia="Arial" w:hAnsi="Arial"/>
          <w:color w:val="1B2118"/>
          <w:sz w:val="21"/>
          <w:szCs w:val="21"/>
        </w:rPr>
        <w:t xml:space="preserve">.</w:t>
      </w:r>
    </w:p>
    <w:p>
      <w:pPr>
        <w:pStyle w:val="ListParagraph"/>
        <w:numPr>
          <w:ilvl w:val="0"/>
          <w:numId w:val="42"/>
        </w:numPr>
        <w:spacing w:after="70" w:line="290"/>
      </w:pPr>
      <w:r>
        <w:rPr>
          <w:rFonts w:ascii="Arial" w:cs="Arial" w:eastAsia="Arial" w:hAnsi="Arial"/>
          <w:b/>
          <w:bCs/>
          <w:color w:val="1B2118"/>
          <w:sz w:val="21"/>
          <w:szCs w:val="21"/>
        </w:rPr>
        <w:t xml:space="preserve">Invia una prova a me</w:t>
      </w:r>
      <w:r>
        <w:rPr>
          <w:rFonts w:ascii="Arial" w:cs="Arial" w:eastAsia="Arial" w:hAnsi="Arial"/>
          <w:color w:val="1B2118"/>
          <w:sz w:val="21"/>
          <w:szCs w:val="21"/>
        </w:rPr>
        <w:t xml:space="preserve">: l'email arriva al vostro indirizzo.</w:t>
      </w:r>
    </w:p>
    <w:p>
      <w:pPr>
        <w:pStyle w:val="ListParagraph"/>
        <w:numPr>
          <w:ilvl w:val="0"/>
          <w:numId w:val="42"/>
        </w:numPr>
        <w:spacing w:after="70" w:line="290"/>
      </w:pPr>
      <w:r>
        <w:rPr>
          <w:rFonts w:ascii="Arial" w:cs="Arial" w:eastAsia="Arial" w:hAnsi="Arial"/>
          <w:b/>
          <w:bCs/>
          <w:color w:val="1B2118"/>
          <w:sz w:val="21"/>
          <w:szCs w:val="21"/>
        </w:rPr>
        <w:t xml:space="preserve">Destinatari</w:t>
      </w:r>
      <w:r>
        <w:rPr>
          <w:rFonts w:ascii="Arial" w:cs="Arial" w:eastAsia="Arial" w:hAnsi="Arial"/>
          <w:color w:val="1B2118"/>
          <w:sz w:val="21"/>
          <w:szCs w:val="21"/>
        </w:rPr>
        <w:t xml:space="preserve">: scegliete Comuni e/o gestori, regioni, abitanti e (per i gestori) natura e attività, poi </w:t>
      </w:r>
      <w:r>
        <w:rPr>
          <w:rFonts w:ascii="Arial" w:cs="Arial" w:eastAsia="Arial" w:hAnsi="Arial"/>
          <w:b/>
          <w:bCs/>
          <w:color w:val="1B2118"/>
          <w:sz w:val="21"/>
          <w:szCs w:val="21"/>
        </w:rPr>
        <w:t xml:space="preserve">Cerca i destinatari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 Entrano solo gli enti con </w:t>
      </w:r>
      <w:r>
        <w:rPr>
          <w:rFonts w:ascii="Arial" w:cs="Arial" w:eastAsia="Arial" w:hAnsi="Arial"/>
          <w:b/>
          <w:bCs/>
          <w:color w:val="1B2118"/>
          <w:sz w:val="21"/>
          <w:szCs w:val="21"/>
        </w:rPr>
        <w:t xml:space="preserve">email generica</w:t>
      </w:r>
      <w:r>
        <w:rPr>
          <w:rFonts w:ascii="Arial" w:cs="Arial" w:eastAsia="Arial" w:hAnsi="Arial"/>
          <w:color w:val="1B2118"/>
          <w:sz w:val="21"/>
          <w:szCs w:val="21"/>
        </w:rPr>
        <w:t xml:space="preserve">: le PEC non si usano mai; sono esclusi gli indirizzi che hanno chiesto di non ricevere altre comunicazioni.</w:t>
      </w:r>
    </w:p>
    <w:p>
      <w:pPr>
        <w:pStyle w:val="ListParagraph"/>
        <w:numPr>
          <w:ilvl w:val="0"/>
          <w:numId w:val="42"/>
        </w:numPr>
        <w:spacing w:after="70" w:line="290"/>
      </w:pP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l'invio procede a blocchi; i contatori mostrano da inviare, inviati, errori, esclusi, visite alla pagina, simulazioni e richieste.</w:t>
      </w:r>
    </w:p>
    <w:p>
      <w:pPr>
        <w:spacing w:after="60"/>
      </w:pPr>
    </w:p>
    <w:p>
      <w:pPr>
        <w:spacing w:after="140" w:line="300"/>
      </w:pPr>
      <w:r>
        <w:rPr>
          <w:rFonts w:ascii="Arial" w:cs="Arial" w:eastAsia="Arial" w:hAnsi="Arial"/>
          <w:color w:val="1B2118"/>
          <w:sz w:val="21"/>
          <w:szCs w:val="21"/>
        </w:rPr>
        <w:t xml:space="preserve">Ogni email contiene l'informativa e il collegamento per non ricevere altre comunicazioni. Finché il dominio email della Fondazione non è verificato le email arrivano solo al titolare del servizio email; il piano attuale ne consente 100 al giorno.</w:t>
      </w:r>
    </w:p>
    <w:p>
      <w:pPr>
        <w:pStyle w:val="Heading2"/>
        <w:keepNext/>
        <w:spacing w:after="120" w:before="240"/>
      </w:pPr>
      <w:r>
        <w:rPr>
          <w:rFonts w:ascii="Arial" w:cs="Arial" w:eastAsia="Arial" w:hAnsi="Arial"/>
          <w:b/>
          <w:bCs/>
          <w:color w:val="2F5D3A"/>
          <w:sz w:val="25"/>
          <w:szCs w:val="25"/>
        </w:rPr>
        <w:t xml:space="preserve">La pagina «Approfondisci»</w:t>
      </w:r>
    </w:p>
    <w:p>
      <w:pPr>
        <w:spacing w:after="140" w:line="300"/>
      </w:pPr>
      <w:r>
        <w:rPr>
          <w:rFonts w:ascii="Arial" w:cs="Arial" w:eastAsia="Arial" w:hAnsi="Arial"/>
          <w:color w:val="1B2118"/>
          <w:sz w:val="21"/>
          <w:szCs w:val="21"/>
        </w:rPr>
        <w:t xml:space="preserve">Il pulsante dell'email apre una pagina pubblica (senza accesso) con il nome del Comune: presenta il Programma, chiede abitanti, rifiuti totali e secco residuo (tonnellate all'anno), durata (7, 10 o 21 anni) e tipo di progetto (Caso 1 volontario o Caso 2 da bando di gara) e mostra crediti, ricavi, costi e margine anno per anno con un grafico e le ipotesi della stima. Si può scaricare il </w:t>
      </w:r>
      <w:r>
        <w:rPr>
          <w:rFonts w:ascii="Arial" w:cs="Arial" w:eastAsia="Arial" w:hAnsi="Arial"/>
          <w:b/>
          <w:bCs/>
          <w:color w:val="1B2118"/>
          <w:sz w:val="21"/>
          <w:szCs w:val="21"/>
        </w:rPr>
        <w:t xml:space="preserve">fascicolo informativo</w:t>
      </w:r>
      <w:r>
        <w:rPr>
          <w:rFonts w:ascii="Arial" w:cs="Arial" w:eastAsia="Arial" w:hAnsi="Arial"/>
          <w:color w:val="1B2118"/>
          <w:sz w:val="21"/>
          <w:szCs w:val="21"/>
        </w:rPr>
        <w:t xml:space="preserve"> (PDF) e inviare la </w:t>
      </w:r>
      <w:r>
        <w:rPr>
          <w:rFonts w:ascii="Arial" w:cs="Arial" w:eastAsia="Arial" w:hAnsi="Arial"/>
          <w:b/>
          <w:bCs/>
          <w:color w:val="1B2118"/>
          <w:sz w:val="21"/>
          <w:szCs w:val="21"/>
        </w:rPr>
        <w:t xml:space="preserve">richiesta di registrazione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Lettura dei siti</w:t>
      </w:r>
    </w:p>
    <w:p>
      <w:pPr>
        <w:spacing w:after="140" w:line="30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Importazioni → Lettura dei siti</w:t>
      </w:r>
      <w:r>
        <w:rPr>
          <w:rFonts w:ascii="Arial" w:cs="Arial" w:eastAsia="Arial" w:hAnsi="Arial"/>
          <w:color w:val="1B2118"/>
          <w:sz w:val="21"/>
          <w:szCs w:val="21"/>
        </w:rPr>
        <w:t xml:space="preserve"> il portale legge da solo il sito di ogni Comune e gestore e completa i dati che mancano:</w:t>
      </w:r>
    </w:p>
    <w:p>
      <w:pPr>
        <w:pStyle w:val="ListParagraph"/>
        <w:numPr>
          <w:ilvl w:val="0"/>
          <w:numId w:val="2"/>
        </w:numPr>
        <w:spacing w:after="70" w:line="290"/>
      </w:pPr>
      <w:r>
        <w:rPr>
          <w:rFonts w:ascii="Arial" w:cs="Arial" w:eastAsia="Arial" w:hAnsi="Arial"/>
          <w:color w:val="1B2118"/>
          <w:sz w:val="21"/>
          <w:szCs w:val="21"/>
        </w:rPr>
        <w:t xml:space="preserve">email generica (solo sul dominio dell'ente), PEC e telefono;</w:t>
      </w:r>
    </w:p>
    <w:p>
      <w:pPr>
        <w:pStyle w:val="ListParagraph"/>
        <w:numPr>
          <w:ilvl w:val="0"/>
          <w:numId w:val="2"/>
        </w:numPr>
        <w:spacing w:after="70" w:line="290"/>
      </w:pPr>
      <w:r>
        <w:rPr>
          <w:rFonts w:ascii="Arial" w:cs="Arial" w:eastAsia="Arial" w:hAnsi="Arial"/>
          <w:color w:val="1B2118"/>
          <w:sz w:val="21"/>
          <w:szCs w:val="21"/>
        </w:rPr>
        <w:t xml:space="preserve">per i Comuni gli uffici </w:t>
      </w:r>
      <w:r>
        <w:rPr>
          <w:rFonts w:ascii="Arial" w:cs="Arial" w:eastAsia="Arial" w:hAnsi="Arial"/>
          <w:b/>
          <w:bCs/>
          <w:color w:val="1B2118"/>
          <w:sz w:val="21"/>
          <w:szCs w:val="21"/>
        </w:rPr>
        <w:t xml:space="preserve">tributi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ambiente</w:t>
      </w:r>
      <w:r>
        <w:rPr>
          <w:rFonts w:ascii="Arial" w:cs="Arial" w:eastAsia="Arial" w:hAnsi="Arial"/>
          <w:color w:val="1B2118"/>
          <w:sz w:val="21"/>
          <w:szCs w:val="21"/>
        </w:rPr>
        <w:t xml:space="preserve">, con email, telefono e, quando la pagina lo scrive come «Responsabile: …», il nome del responsabile;</w:t>
      </w:r>
    </w:p>
    <w:p>
      <w:pPr>
        <w:pStyle w:val="ListParagraph"/>
        <w:numPr>
          <w:ilvl w:val="0"/>
          <w:numId w:val="2"/>
        </w:numPr>
        <w:spacing w:after="70" w:line="290"/>
      </w:pPr>
      <w:r>
        <w:rPr>
          <w:rFonts w:ascii="Arial" w:cs="Arial" w:eastAsia="Arial" w:hAnsi="Arial"/>
          <w:color w:val="1B2118"/>
          <w:sz w:val="21"/>
          <w:szCs w:val="21"/>
        </w:rPr>
        <w:t xml:space="preserve">per i gestori presidente, amministratore delegato o unico, direttori, se fanno raccolta per i Comuni e se gestiscono la tariffa.</w:t>
      </w:r>
    </w:p>
    <w:p>
      <w:pPr>
        <w:spacing w:after="140" w:line="300"/>
      </w:pPr>
      <w:r>
        <w:rPr>
          <w:rFonts w:ascii="Arial" w:cs="Arial" w:eastAsia="Arial" w:hAnsi="Arial"/>
          <w:color w:val="1B2118"/>
          <w:sz w:val="21"/>
          <w:szCs w:val="21"/>
        </w:rPr>
        <w:t xml:space="preserve">Riempie solo i campi vuoti e per ogni referente salva la pagina da cui è preso. Usa regole fisse, senza servizi a pagamento. Rispetta le indicazioni dei siti per i programmi automatici e legge una pagina alla volta. Accesa, legge 4 enti ogni 30 secondi.</w:t>
      </w:r>
    </w:p>
    <w:p>
      <w:pPr>
        <w:spacing w:after="140" w:line="300"/>
      </w:pPr>
      <w:r>
        <w:rPr>
          <w:rFonts w:ascii="Arial" w:cs="Arial" w:eastAsia="Arial" w:hAnsi="Arial"/>
          <w:color w:val="1B2118"/>
          <w:sz w:val="21"/>
          <w:szCs w:val="21"/>
        </w:rPr>
        <w:t xml:space="preserve">Pulsanti: </w:t>
      </w:r>
      <w:r>
        <w:rPr>
          <w:rFonts w:ascii="Arial" w:cs="Arial" w:eastAsia="Arial" w:hAnsi="Arial"/>
          <w:b/>
          <w:bCs/>
          <w:color w:val="1B2118"/>
          <w:sz w:val="21"/>
          <w:szCs w:val="21"/>
        </w:rPr>
        <w:t xml:space="preserve">Metti in coda i Comuni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Metti in coda i gestori con sito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Avvia la lettura</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Ferma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Leggi ora 1 ente</w:t>
      </w:r>
      <w:r>
        <w:rPr>
          <w:rFonts w:ascii="Arial" w:cs="Arial" w:eastAsia="Arial" w:hAnsi="Arial"/>
          <w:color w:val="1B2118"/>
          <w:sz w:val="21"/>
          <w:szCs w:val="21"/>
        </w:rPr>
        <w:t xml:space="preserve"> (prova immediata con il risultato a schermo), </w:t>
      </w:r>
      <w:r>
        <w:rPr>
          <w:rFonts w:ascii="Arial" w:cs="Arial" w:eastAsia="Arial" w:hAnsi="Arial"/>
          <w:b/>
          <w:bCs/>
          <w:color w:val="1B2118"/>
          <w:sz w:val="21"/>
          <w:szCs w:val="21"/>
        </w:rPr>
        <w:t xml:space="preserve">Rileggi tutti</w:t>
      </w:r>
      <w:r>
        <w:rPr>
          <w:rFonts w:ascii="Arial" w:cs="Arial" w:eastAsia="Arial" w:hAnsi="Arial"/>
          <w:color w:val="1B2118"/>
          <w:sz w:val="21"/>
          <w:szCs w:val="21"/>
        </w:rPr>
        <w:t xml:space="preserve">. La tabella mostra quanti enti sono in coda, letti e in errore (siti che non rispondono); gli ultimi errori si aprono sotto i pulsanti.</w:t>
      </w:r>
    </w:p>
    <w:p>
      <w:pPr>
        <w:spacing w:after="140" w:line="300"/>
      </w:pPr>
      <w:r>
        <w:rPr>
          <w:rFonts w:ascii="Arial" w:cs="Arial" w:eastAsia="Arial" w:hAnsi="Arial"/>
          <w:color w:val="1B2118"/>
          <w:sz w:val="21"/>
          <w:szCs w:val="21"/>
        </w:rPr>
        <w:t xml:space="preserve">I nomi dei responsabili dei Comuni si trovano solo quando la pagina li indica in modo chiaro: negli altri casi resta l'email dell'ufficio.</w:t>
      </w:r>
    </w:p>
    <w:p>
      <w:pPr>
        <w:spacing w:after="140" w:line="300"/>
      </w:pPr>
      <w:r>
        <w:rPr>
          <w:rFonts w:ascii="Arial" w:cs="Arial" w:eastAsia="Arial" w:hAnsi="Arial"/>
          <w:color w:val="1B2118"/>
          <w:sz w:val="21"/>
          <w:szCs w:val="21"/>
        </w:rPr>
        <w:t xml:space="preserve">Alcuni siti (circa uno su otto tra i Comuni) chiedono ai programmi automatici di non essere letti: il portale rispetta la richiesta e li segna tra gli errori («Il sito chiede di non essere letto…»). Per questi enti i dati si completano a mano dalla scheda. Gli enti con il sito che non ha risposto si possono rimettere in coda con </w:t>
      </w:r>
      <w:r>
        <w:rPr>
          <w:rFonts w:ascii="Arial" w:cs="Arial" w:eastAsia="Arial" w:hAnsi="Arial"/>
          <w:b/>
          <w:bCs/>
          <w:color w:val="1B2118"/>
          <w:sz w:val="21"/>
          <w:szCs w:val="21"/>
        </w:rPr>
        <w:t xml:space="preserve">Rileggi tutti</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Richieste di registrazione</w:t>
      </w:r>
    </w:p>
    <w:p>
      <w:pPr>
        <w:spacing w:after="140" w:line="300"/>
      </w:pPr>
      <w:r>
        <w:rPr>
          <w:rFonts w:ascii="Arial" w:cs="Arial" w:eastAsia="Arial" w:hAnsi="Arial"/>
          <w:color w:val="1B2118"/>
          <w:sz w:val="21"/>
          <w:szCs w:val="21"/>
        </w:rPr>
        <w:t xml:space="preserve">Ogni richiesta arriva a tutti gli Amministratori come notifica nel portale ed email. Nella scheda </w:t>
      </w:r>
      <w:r>
        <w:rPr>
          <w:rFonts w:ascii="Arial" w:cs="Arial" w:eastAsia="Arial" w:hAnsi="Arial"/>
          <w:b/>
          <w:bCs/>
          <w:color w:val="1B2118"/>
          <w:sz w:val="21"/>
          <w:szCs w:val="21"/>
        </w:rPr>
        <w:t xml:space="preserve">Richieste</w:t>
      </w:r>
      <w:r>
        <w:rPr>
          <w:rFonts w:ascii="Arial" w:cs="Arial" w:eastAsia="Arial" w:hAnsi="Arial"/>
          <w:color w:val="1B2118"/>
          <w:sz w:val="21"/>
          <w:szCs w:val="21"/>
        </w:rPr>
        <w:t xml:space="preserve"> trovate referente, recapiti, messaggio e la simulazione fatta; scrivete le note (es. «chiamato il…») e segnate la richiesta come gestita. La registrazione vera e propria si fa come sempre da Utenti e Anagrafiche.</w:t>
      </w:r>
    </w:p>
    <w:p>
      <w:pPr>
        <w:pStyle w:val="Heading1"/>
        <w:pageBreakBefore/>
        <w:pBdr>
          <w:bottom w:val="single" w:color="2F5D3A" w:sz="12" w:space="6"/>
        </w:pBdr>
        <w:spacing w:after="240" w:before="0"/>
      </w:pPr>
      <w:bookmarkStart w:name="cap27" w:id="1"/>
      <w:r>
        <w:rPr>
          <w:rFonts w:ascii="Arial" w:cs="Arial" w:eastAsia="Arial" w:hAnsi="Arial"/>
          <w:b/>
          <w:bCs/>
          <w:color w:val="2F5D3A"/>
          <w:sz w:val="34"/>
          <w:szCs w:val="34"/>
        </w:rPr>
        <w:t xml:space="preserve">27. Assistente virtuale</w:t>
      </w:r>
      <w:bookmarkEnd w:id="1"/>
    </w:p>
    <w:p>
      <w:pPr>
        <w:spacing w:after="140" w:line="300"/>
      </w:pPr>
      <w:r>
        <w:rPr>
          <w:rFonts w:ascii="Arial" w:cs="Arial" w:eastAsia="Arial" w:hAnsi="Arial"/>
          <w:color w:val="1B2118"/>
          <w:sz w:val="21"/>
          <w:szCs w:val="21"/>
        </w:rPr>
        <w:t xml:space="preserve">In basso a destra di ogni pagina c'è il pulsante </w:t>
      </w:r>
      <w:r>
        <w:rPr>
          <w:rFonts w:ascii="Arial" w:cs="Arial" w:eastAsia="Arial" w:hAnsi="Arial"/>
          <w:b/>
          <w:bCs/>
          <w:color w:val="1B2118"/>
          <w:sz w:val="21"/>
          <w:szCs w:val="21"/>
        </w:rPr>
        <w:t xml:space="preserve">✦ Assistente</w:t>
      </w:r>
      <w:r>
        <w:rPr>
          <w:rFonts w:ascii="Arial" w:cs="Arial" w:eastAsia="Arial" w:hAnsi="Arial"/>
          <w:color w:val="1B2118"/>
          <w:sz w:val="21"/>
          <w:szCs w:val="21"/>
        </w:rPr>
        <w:t xml:space="preserve">: apre una chat con un assistente basato su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(Anthropic) che risponde alle domande sul funzionamento del portale e del Programma. È disponibile per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(dal 21/10/2026) e </w:t>
      </w:r>
      <w:r>
        <w:rPr>
          <w:rFonts w:ascii="Arial" w:cs="Arial" w:eastAsia="Arial" w:hAnsi="Arial"/>
          <w:b/>
          <w:bCs/>
          <w:color w:val="1B2118"/>
          <w:sz w:val="21"/>
          <w:szCs w:val="21"/>
        </w:rPr>
        <w:t xml:space="preserve">utenti degli enti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sa.</w:t>
      </w:r>
      <w:r>
        <w:rPr>
          <w:rFonts w:ascii="Arial" w:cs="Arial" w:eastAsia="Arial" w:hAnsi="Arial"/>
          <w:color w:val="1B2118"/>
          <w:sz w:val="21"/>
          <w:szCs w:val="21"/>
        </w:rPr>
        <w:t xml:space="preserve"> Risponde solo dalla sua base di conoscenza, diversa per ruolo:</w:t>
      </w:r>
    </w:p>
    <w:p>
      <w:pPr>
        <w:pStyle w:val="ListParagraph"/>
        <w:numPr>
          <w:ilvl w:val="0"/>
          <w:numId w:val="2"/>
        </w:numPr>
        <w:spacing w:after="70" w:line="290"/>
      </w:pP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Utente, questo manuale, le tariffe (Schema tariffario v1.2 e costi Caso 1 e Caso 2 del 28/07/2026) e le note sul calcolo dei crediti.</w:t>
      </w:r>
    </w:p>
    <w:p>
      <w:pPr>
        <w:pStyle w:val="ListParagraph"/>
        <w:numPr>
          <w:ilvl w:val="0"/>
          <w:numId w:val="2"/>
        </w:numPr>
        <w:spacing w:after="70" w:line="290"/>
      </w:pP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il Manuale Utente, questo manuale senza i capitoli delle funzioni riservate agli Amministratori (utenti, audit, impostazioni, calcolo dei crediti, backup, sicurezza) e le tariffe.</w:t>
      </w:r>
    </w:p>
    <w:p>
      <w:pPr>
        <w:pStyle w:val="ListParagraph"/>
        <w:numPr>
          <w:ilvl w:val="0"/>
          <w:numId w:val="2"/>
        </w:numPr>
        <w:spacing w:after="70" w:line="290"/>
      </w:pPr>
      <w:r>
        <w:rPr>
          <w:rFonts w:ascii="Arial" w:cs="Arial" w:eastAsia="Arial" w:hAnsi="Arial"/>
          <w:b/>
          <w:bCs/>
          <w:color w:val="1B2118"/>
          <w:sz w:val="21"/>
          <w:szCs w:val="21"/>
        </w:rPr>
        <w:t xml:space="preserve">Enti:</w:t>
      </w:r>
      <w:r>
        <w:rPr>
          <w:rFonts w:ascii="Arial" w:cs="Arial" w:eastAsia="Arial" w:hAnsi="Arial"/>
          <w:color w:val="1B2118"/>
          <w:sz w:val="21"/>
          <w:szCs w:val="21"/>
        </w:rPr>
        <w:t xml:space="preserve"> il Manuale Utente e le tariffe.</w:t>
      </w:r>
    </w:p>
    <w:p>
      <w:pPr>
        <w:spacing w:after="140" w:line="300"/>
      </w:pPr>
      <w:r>
        <w:rPr>
          <w:rFonts w:ascii="Arial" w:cs="Arial" w:eastAsia="Arial" w:hAnsi="Arial"/>
          <w:color w:val="1B2118"/>
          <w:sz w:val="21"/>
          <w:szCs w:val="21"/>
        </w:rPr>
        <w:t xml:space="preserve">Se una cosa non c'è lo dice e invita a scrivere alla Fondazione. Non fa operazioni nel portale: spiega dove e come farle.</w:t>
      </w:r>
    </w:p>
    <w:p>
      <w:pPr>
        <w:spacing w:after="140" w:line="300"/>
      </w:pPr>
      <w:r>
        <w:rPr>
          <w:rFonts w:ascii="Arial" w:cs="Arial" w:eastAsia="Arial" w:hAnsi="Arial"/>
          <w:b/>
          <w:bCs/>
          <w:color w:val="1B2118"/>
          <w:sz w:val="21"/>
          <w:szCs w:val="21"/>
        </w:rPr>
        <w:t xml:space="preserve">Domande sulla pratica aperta</w:t>
      </w:r>
      <w:r>
        <w:rPr>
          <w:rFonts w:ascii="Arial" w:cs="Arial" w:eastAsia="Arial" w:hAnsi="Arial"/>
          <w:color w:val="1B2118"/>
          <w:sz w:val="21"/>
          <w:szCs w:val="21"/>
        </w:rPr>
        <w:t xml:space="preserve"> (dal 21/10/2026). Se si apre l'assistente dalla pagina di una pratica (in «Pratiche» o in «Le mie pratiche»), l'assistente riceve anche un riepilogo di </w:t>
      </w:r>
      <w:r>
        <w:rPr>
          <w:rFonts w:ascii="Arial" w:cs="Arial" w:eastAsia="Arial" w:hAnsi="Arial"/>
          <w:b/>
          <w:bCs/>
          <w:color w:val="1B2118"/>
          <w:sz w:val="21"/>
          <w:szCs w:val="21"/>
        </w:rPr>
        <w:t xml:space="preserve">quella</w:t>
      </w:r>
      <w:r>
        <w:rPr>
          <w:rFonts w:ascii="Arial" w:cs="Arial" w:eastAsia="Arial" w:hAnsi="Arial"/>
          <w:color w:val="1B2118"/>
          <w:sz w:val="21"/>
          <w:szCs w:val="21"/>
        </w:rPr>
        <w:t xml:space="preserve"> pratica, letto in quel momento con i permessi di chi chiede:</w:t>
      </w:r>
    </w:p>
    <w:p>
      <w:pPr>
        <w:pStyle w:val="ListParagraph"/>
        <w:numPr>
          <w:ilvl w:val="0"/>
          <w:numId w:val="2"/>
        </w:numPr>
        <w:spacing w:after="70" w:line="290"/>
      </w:pPr>
      <w:r>
        <w:rPr>
          <w:rFonts w:ascii="Arial" w:cs="Arial" w:eastAsia="Arial" w:hAnsi="Arial"/>
          <w:color w:val="1B2118"/>
          <w:sz w:val="21"/>
          <w:szCs w:val="21"/>
        </w:rPr>
        <w:t xml:space="preserve">stato;</w:t>
      </w:r>
    </w:p>
    <w:p>
      <w:pPr>
        <w:pStyle w:val="ListParagraph"/>
        <w:numPr>
          <w:ilvl w:val="0"/>
          <w:numId w:val="2"/>
        </w:numPr>
        <w:spacing w:after="70" w:line="290"/>
      </w:pPr>
      <w:r>
        <w:rPr>
          <w:rFonts w:ascii="Arial" w:cs="Arial" w:eastAsia="Arial" w:hAnsi="Arial"/>
          <w:color w:val="1B2118"/>
          <w:sz w:val="21"/>
          <w:szCs w:val="21"/>
        </w:rPr>
        <w:t xml:space="preserve">fasi con scadenze e giorni mancanti;</w:t>
      </w:r>
    </w:p>
    <w:p>
      <w:pPr>
        <w:pStyle w:val="ListParagraph"/>
        <w:numPr>
          <w:ilvl w:val="0"/>
          <w:numId w:val="2"/>
        </w:numPr>
        <w:spacing w:after="70" w:line="290"/>
      </w:pPr>
      <w:r>
        <w:rPr>
          <w:rFonts w:ascii="Arial" w:cs="Arial" w:eastAsia="Arial" w:hAnsi="Arial"/>
          <w:color w:val="1B2118"/>
          <w:sz w:val="21"/>
          <w:szCs w:val="21"/>
        </w:rPr>
        <w:t xml:space="preserve">documenti richiesti non ancora caricati nelle fasi aperte;</w:t>
      </w:r>
    </w:p>
    <w:p>
      <w:pPr>
        <w:pStyle w:val="ListParagraph"/>
        <w:numPr>
          <w:ilvl w:val="0"/>
          <w:numId w:val="2"/>
        </w:numPr>
        <w:spacing w:after="70" w:line="290"/>
      </w:pPr>
      <w:r>
        <w:rPr>
          <w:rFonts w:ascii="Arial" w:cs="Arial" w:eastAsia="Arial" w:hAnsi="Arial"/>
          <w:color w:val="1B2118"/>
          <w:sz w:val="21"/>
          <w:szCs w:val="21"/>
        </w:rPr>
        <w:t xml:space="preserve">integrazioni aperte;</w:t>
      </w:r>
    </w:p>
    <w:p>
      <w:pPr>
        <w:pStyle w:val="ListParagraph"/>
        <w:numPr>
          <w:ilvl w:val="0"/>
          <w:numId w:val="2"/>
        </w:numPr>
        <w:spacing w:after="70" w:line="290"/>
      </w:pPr>
      <w:r>
        <w:rPr>
          <w:rFonts w:ascii="Arial" w:cs="Arial" w:eastAsia="Arial" w:hAnsi="Arial"/>
          <w:color w:val="1B2118"/>
          <w:sz w:val="21"/>
          <w:szCs w:val="21"/>
        </w:rPr>
        <w:t xml:space="preserve">pagamenti non saldati o scaduti;</w:t>
      </w:r>
    </w:p>
    <w:p>
      <w:pPr>
        <w:pStyle w:val="ListParagraph"/>
        <w:numPr>
          <w:ilvl w:val="0"/>
          <w:numId w:val="2"/>
        </w:numPr>
        <w:spacing w:after="70" w:line="290"/>
      </w:pPr>
      <w:r>
        <w:rPr>
          <w:rFonts w:ascii="Arial" w:cs="Arial" w:eastAsia="Arial" w:hAnsi="Arial"/>
          <w:color w:val="1B2118"/>
          <w:sz w:val="21"/>
          <w:szCs w:val="21"/>
        </w:rPr>
        <w:t xml:space="preserve">feedback pubblico.</w:t>
      </w:r>
    </w:p>
    <w:p>
      <w:pPr>
        <w:spacing w:after="140" w:line="300"/>
      </w:pPr>
      <w:r>
        <w:rPr>
          <w:rFonts w:ascii="Arial" w:cs="Arial" w:eastAsia="Arial" w:hAnsi="Arial"/>
          <w:color w:val="1B2118"/>
          <w:sz w:val="21"/>
          <w:szCs w:val="21"/>
        </w:rPr>
        <w:t xml:space="preserve">Si possono chiedere cose come «A che punto è questa pratica?» o «Quali documenti mancano?». Un utente del Comune ottiene il riepilogo solo delle sue pratiche e conta solo i documenti che può vedere. Altrove l'assistente non vede i dati delle pratiche.</w:t>
      </w:r>
    </w:p>
    <w:p>
      <w:pPr>
        <w:spacing w:after="140" w:line="300"/>
      </w:pPr>
      <w:r>
        <w:rPr>
          <w:rFonts w:ascii="Arial" w:cs="Arial" w:eastAsia="Arial" w:hAnsi="Arial"/>
          <w:b/>
          <w:bCs/>
          <w:color w:val="1B2118"/>
          <w:sz w:val="21"/>
          <w:szCs w:val="21"/>
        </w:rPr>
        <w:t xml:space="preserve">Come si usa.</w:t>
      </w:r>
      <w:r>
        <w:rPr>
          <w:rFonts w:ascii="Arial" w:cs="Arial" w:eastAsia="Arial" w:hAnsi="Arial"/>
          <w:color w:val="1B2118"/>
          <w:sz w:val="21"/>
          <w:szCs w:val="21"/>
        </w:rPr>
        <w:t xml:space="preserve"> Si scrive la domanda (o si sceglie un esempio) e si preme </w:t>
      </w:r>
      <w:r>
        <w:rPr>
          <w:rFonts w:ascii="Arial" w:cs="Arial" w:eastAsia="Arial" w:hAnsi="Arial"/>
          <w:b/>
          <w:bCs/>
          <w:color w:val="1B2118"/>
          <w:sz w:val="21"/>
          <w:szCs w:val="21"/>
        </w:rPr>
        <w:t xml:space="preserve">Invio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mentre l'assistente prepara la risposta compare «Un attimo…» (di solito pochi secondi);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ricomincia la conversazione, </w:t>
      </w:r>
      <w:r>
        <w:rPr>
          <w:rFonts w:ascii="Arial" w:cs="Arial" w:eastAsia="Arial" w:hAnsi="Arial"/>
          <w:b/>
          <w:bCs/>
          <w:color w:val="1B2118"/>
          <w:sz w:val="21"/>
          <w:szCs w:val="21"/>
        </w:rPr>
        <w:t xml:space="preserve">✕</w:t>
      </w:r>
      <w:r>
        <w:rPr>
          <w:rFonts w:ascii="Arial" w:cs="Arial" w:eastAsia="Arial" w:hAnsi="Arial"/>
          <w:color w:val="1B2118"/>
          <w:sz w:val="21"/>
          <w:szCs w:val="21"/>
        </w:rPr>
        <w:t xml:space="preserve"> chiude la finestra. La conversazione resta solo nella pagina: il portale non salva domande né risposte, conta solo quante domande fa ogni utente e i token usati (limite predefinito 40 domande al giorno per utente). Le risposte sono generate da un'intelligenza artificiale: in caso di dubbio vale il manuale.</w:t>
      </w:r>
    </w:p>
    <w:p>
      <w:pPr>
        <w:spacing w:after="140" w:line="300"/>
      </w:pPr>
      <w:r>
        <w:rPr>
          <w:rFonts w:ascii="Arial" w:cs="Arial" w:eastAsia="Arial" w:hAnsi="Arial"/>
          <w:b/>
          <w:bCs/>
          <w:color w:val="1B2118"/>
          <w:sz w:val="21"/>
          <w:szCs w:val="21"/>
        </w:rPr>
        <w:t xml:space="preserve">Attivazione e costi.</w:t>
      </w:r>
      <w:r>
        <w:rPr>
          <w:rFonts w:ascii="Arial" w:cs="Arial" w:eastAsia="Arial" w:hAnsi="Arial"/>
          <w:color w:val="1B2118"/>
          <w:sz w:val="21"/>
          <w:szCs w:val="21"/>
        </w:rPr>
        <w:t xml:space="preserve"> L'assistente è </w:t>
      </w:r>
      <w:r>
        <w:rPr>
          <w:rFonts w:ascii="Arial" w:cs="Arial" w:eastAsia="Arial" w:hAnsi="Arial"/>
          <w:b/>
          <w:bCs/>
          <w:color w:val="1B2118"/>
          <w:sz w:val="21"/>
          <w:szCs w:val="21"/>
        </w:rPr>
        <w:t xml:space="preserve">attivo dal 19/10/2026</w:t>
      </w:r>
      <w:r>
        <w:rPr>
          <w:rFonts w:ascii="Arial" w:cs="Arial" w:eastAsia="Arial" w:hAnsi="Arial"/>
          <w:color w:val="1B2118"/>
          <w:sz w:val="21"/>
          <w:szCs w:val="21"/>
        </w:rPr>
        <w:t xml:space="preserve">. Funziona con una chiave della </w:t>
      </w:r>
      <w:r>
        <w:rPr>
          <w:rFonts w:ascii="Arial" w:cs="Arial" w:eastAsia="Arial" w:hAnsi="Arial"/>
          <w:b/>
          <w:bCs/>
          <w:color w:val="1B2118"/>
          <w:sz w:val="21"/>
          <w:szCs w:val="21"/>
        </w:rPr>
        <w:t xml:space="preserve">Claude Console</w:t>
      </w:r>
      <w:r>
        <w:rPr>
          <w:rFonts w:ascii="Arial" w:cs="Arial" w:eastAsia="Arial" w:hAnsi="Arial"/>
          <w:color w:val="1B2118"/>
          <w:sz w:val="21"/>
          <w:szCs w:val="21"/>
        </w:rPr>
        <w:t xml:space="preserve"> di Anthropic, che solo Luca inserisce nei segreti di Supabase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La chiave va creata </w:t>
      </w:r>
      <w:r>
        <w:rPr>
          <w:rFonts w:ascii="Arial" w:cs="Arial" w:eastAsia="Arial" w:hAnsi="Arial"/>
          <w:b/>
          <w:bCs/>
          <w:color w:val="1B2118"/>
          <w:sz w:val="21"/>
          <w:szCs w:val="21"/>
        </w:rPr>
        <w:t xml:space="preserve">legata a un solo spazio di lavoro</w:t>
      </w:r>
      <w:r>
        <w:rPr>
          <w:rFonts w:ascii="Arial" w:cs="Arial" w:eastAsia="Arial" w:hAnsi="Arial"/>
          <w:color w:val="1B2118"/>
          <w:sz w:val="21"/>
          <w:szCs w:val="21"/>
        </w:rPr>
        <w:t xml:space="preserve"> (workspace): una chiave valida per tutti gli spazi di lavoro viene rifiutata da Anthropic. L'uso si paga con i crediti dell'organizzazione della Console a cui appartiene la chiave: con un piano Claude </w:t>
      </w:r>
      <w:r>
        <w:rPr>
          <w:rFonts w:ascii="Arial" w:cs="Arial" w:eastAsia="Arial" w:hAnsi="Arial"/>
          <w:b/>
          <w:bCs/>
          <w:color w:val="1B2118"/>
          <w:sz w:val="21"/>
          <w:szCs w:val="21"/>
        </w:rPr>
        <w:t xml:space="preserve">Max o Team</w:t>
      </w:r>
      <w:r>
        <w:rPr>
          <w:rFonts w:ascii="Arial" w:cs="Arial" w:eastAsia="Arial" w:hAnsi="Arial"/>
          <w:color w:val="1B2118"/>
          <w:sz w:val="21"/>
          <w:szCs w:val="21"/>
        </w:rPr>
        <w:t xml:space="preserve"> si possono collegare i </w:t>
      </w:r>
      <w:r>
        <w:rPr>
          <w:rFonts w:ascii="Arial" w:cs="Arial" w:eastAsia="Arial" w:hAnsi="Arial"/>
          <w:b/>
          <w:bCs/>
          <w:color w:val="1B2118"/>
          <w:sz w:val="21"/>
          <w:szCs w:val="21"/>
        </w:rPr>
        <w:t xml:space="preserve">crediti API mensili</w:t>
      </w:r>
      <w:r>
        <w:rPr>
          <w:rFonts w:ascii="Arial" w:cs="Arial" w:eastAsia="Arial" w:hAnsi="Arial"/>
          <w:color w:val="1B2118"/>
          <w:sz w:val="21"/>
          <w:szCs w:val="21"/>
        </w:rPr>
        <w:t xml:space="preserve"> del piano a quell'organizzazione (Impostazioni → Fatturazione su claude.ai); il primo accredito può arrivare dopo qualche giorno, e nel frattempo si usano i crediti acquistati nella Console (Fatturazione), che scadono dopo un anno. I crediti mensili si consumano per primi. Se il credito finisce, l'assistente risponde con un messaggio d'errore e nulla viene addebitato al piano. Saldo e consumi si vedono nella Console. Il modello predefinito è </w:t>
      </w:r>
      <w:r>
        <w:rPr>
          <w:rFonts w:ascii="Arial" w:cs="Arial" w:eastAsia="Arial" w:hAnsi="Arial"/>
          <w:b/>
          <w:bCs/>
          <w:color w:val="1B2118"/>
          <w:sz w:val="21"/>
          <w:szCs w:val="21"/>
        </w:rPr>
        <w:t xml:space="preserve">Claude Haiku 5.5</w:t>
      </w:r>
      <w:r>
        <w:rPr>
          <w:rFonts w:ascii="Arial" w:cs="Arial" w:eastAsia="Arial" w:hAnsi="Arial"/>
          <w:color w:val="1B2118"/>
          <w:sz w:val="21"/>
          <w:szCs w:val="21"/>
        </w:rPr>
        <w:t xml:space="preserve">, il più economico: la base di conoscenza si rilegge dalla cache, quindi una domanda costa di solito meno di un centesimo di dollaro.</w:t>
      </w:r>
    </w:p>
    <w:p>
      <w:pPr>
        <w:spacing w:after="140" w:line="300"/>
      </w:pPr>
      <w:r>
        <w:rPr>
          <w:rFonts w:ascii="Arial" w:cs="Arial" w:eastAsia="Arial" w:hAnsi="Arial"/>
          <w:b/>
          <w:bCs/>
          <w:color w:val="1B2118"/>
          <w:sz w:val="21"/>
          <w:szCs w:val="21"/>
        </w:rPr>
        <w:t xml:space="preserve">Quando qualcosa non va.</w:t>
      </w:r>
      <w:r>
        <w:rPr>
          <w:rFonts w:ascii="Arial" w:cs="Arial" w:eastAsia="Arial" w:hAnsi="Arial"/>
          <w:color w:val="1B2118"/>
          <w:sz w:val="21"/>
          <w:szCs w:val="21"/>
        </w:rPr>
        <w:t xml:space="preserve"> Se Claude non può rispondere, l'utente vede un messaggio in italiano semplice: «L'assistente non è disponibile in questo momento. Riprova più tardi…», oppure «arrivano troppe domande» o «momentaneamente sovraccarico» quando il problema è passeggero. Gli Amministratori leggono anche la causa tra parentesi, per esempio «il credito della Claude Console è esaurito» o «la chiave non è legata a uno spazio di lavoro». Il dettaglio tecnico, in inglese, resta nei log della funzione: Supabase → Edge Functions → assistente → Logs.</w:t>
      </w:r>
    </w:p>
    <w:p>
      <w:pPr>
        <w:spacing w:after="140" w:line="300"/>
      </w:pPr>
      <w:r>
        <w:rPr>
          <w:rFonts w:ascii="Arial" w:cs="Arial" w:eastAsia="Arial" w:hAnsi="Arial"/>
          <w:b/>
          <w:bCs/>
          <w:color w:val="1B2118"/>
          <w:sz w:val="21"/>
          <w:szCs w:val="21"/>
        </w:rPr>
        <w:t xml:space="preserve">Aggiornare le conoscenze.</w:t>
      </w:r>
      <w:r>
        <w:rPr>
          <w:rFonts w:ascii="Arial" w:cs="Arial" w:eastAsia="Arial" w:hAnsi="Arial"/>
          <w:color w:val="1B2118"/>
          <w:sz w:val="21"/>
          <w:szCs w:val="21"/>
        </w:rPr>
        <w:t xml:space="preserve"> Quando cambiano i manuali o le tariffe si rigenera la base di conoscenza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e si pubblica: l'assistente la rilegge entro 10 minuti.</w:t>
      </w:r>
    </w:p>
    <w:p>
      <w:pPr>
        <w:pStyle w:val="Heading1"/>
        <w:pageBreakBefore/>
        <w:pBdr>
          <w:bottom w:val="single" w:color="2F5D3A" w:sz="12" w:space="6"/>
        </w:pBdr>
        <w:spacing w:after="240" w:before="0"/>
      </w:pPr>
      <w:bookmarkStart w:name="cap28" w:id="1"/>
      <w:r>
        <w:rPr>
          <w:rFonts w:ascii="Arial" w:cs="Arial" w:eastAsia="Arial" w:hAnsi="Arial"/>
          <w:b/>
          <w:bCs/>
          <w:color w:val="2F5D3A"/>
          <w:sz w:val="34"/>
          <w:szCs w:val="34"/>
        </w:rPr>
        <w:t xml:space="preserve">28. Sicurezza</w:t>
      </w:r>
      <w:bookmarkEnd w:id="1"/>
    </w:p>
    <w:p>
      <w:pPr>
        <w:spacing w:after="140" w:line="300"/>
      </w:pPr>
      <w:r>
        <w:rPr>
          <w:rFonts w:ascii="Arial" w:cs="Arial" w:eastAsia="Arial" w:hAnsi="Arial"/>
          <w:b/>
          <w:bCs/>
          <w:color w:val="1B2118"/>
          <w:sz w:val="21"/>
          <w:szCs w:val="21"/>
        </w:rPr>
        <w:t xml:space="preserve">Uscita per inattività.</w:t>
      </w:r>
      <w:r>
        <w:rPr>
          <w:rFonts w:ascii="Arial" w:cs="Arial" w:eastAsia="Arial" w:hAnsi="Arial"/>
          <w:color w:val="1B2118"/>
          <w:sz w:val="21"/>
          <w:szCs w:val="21"/>
        </w:rPr>
        <w:t xml:space="preserve"> Dopo </w:t>
      </w:r>
      <w:r>
        <w:rPr>
          <w:rFonts w:ascii="Arial" w:cs="Arial" w:eastAsia="Arial" w:hAnsi="Arial"/>
          <w:b/>
          <w:bCs/>
          <w:color w:val="1B2118"/>
          <w:sz w:val="21"/>
          <w:szCs w:val="21"/>
        </w:rPr>
        <w:t xml:space="preserve">30 minuti</w:t>
      </w:r>
      <w:r>
        <w:rPr>
          <w:rFonts w:ascii="Arial" w:cs="Arial" w:eastAsia="Arial" w:hAnsi="Arial"/>
          <w:color w:val="1B2118"/>
          <w:sz w:val="21"/>
          <w:szCs w:val="21"/>
        </w:rPr>
        <w:t xml:space="preserve"> senza attività per Operatori e Amministratori, e dopo </w:t>
      </w:r>
      <w:r>
        <w:rPr>
          <w:rFonts w:ascii="Arial" w:cs="Arial" w:eastAsia="Arial" w:hAnsi="Arial"/>
          <w:b/>
          <w:bCs/>
          <w:color w:val="1B2118"/>
          <w:sz w:val="21"/>
          <w:szCs w:val="21"/>
        </w:rPr>
        <w:t xml:space="preserve">60 minuti</w:t>
      </w:r>
      <w:r>
        <w:rPr>
          <w:rFonts w:ascii="Arial" w:cs="Arial" w:eastAsia="Arial" w:hAnsi="Arial"/>
          <w:color w:val="1B2118"/>
          <w:sz w:val="21"/>
          <w:szCs w:val="21"/>
        </w:rPr>
        <w:t xml:space="preserve"> per gli utenti degli enti, compare «Sei ancora lì?». Se nessuno risponde entro 2 minuti, il portale esce da solo. L'uscita si vede in Audit User → Accessi come «Uscita (Esci) – per inattività». L'attività in un'altra scheda dello stesso browser tiene aperte tutte le schede.</w:t>
      </w:r>
    </w:p>
    <w:p>
      <w:pPr>
        <w:spacing w:after="140" w:line="300"/>
      </w:pPr>
      <w:r>
        <w:rPr>
          <w:rFonts w:ascii="Arial" w:cs="Arial" w:eastAsia="Arial" w:hAnsi="Arial"/>
          <w:b/>
          <w:bCs/>
          <w:color w:val="1B2118"/>
          <w:sz w:val="21"/>
          <w:szCs w:val="21"/>
        </w:rPr>
        <w:t xml:space="preserve">Avvisi di sicurezza all'Amministratore principale.</w:t>
      </w:r>
      <w:r>
        <w:rPr>
          <w:rFonts w:ascii="Arial" w:cs="Arial" w:eastAsia="Arial" w:hAnsi="Arial"/>
          <w:color w:val="1B2118"/>
          <w:sz w:val="21"/>
          <w:szCs w:val="21"/>
        </w:rPr>
        <w:t xml:space="preserve"> Arrivano come notifica nella campanella e per email (script 34):</w:t>
      </w:r>
    </w:p>
    <w:p>
      <w:pPr>
        <w:pStyle w:val="ListParagraph"/>
        <w:numPr>
          <w:ilvl w:val="0"/>
          <w:numId w:val="2"/>
        </w:numPr>
        <w:spacing w:after="70" w:line="290"/>
      </w:pPr>
      <w:r>
        <w:rPr>
          <w:rFonts w:ascii="Arial" w:cs="Arial" w:eastAsia="Arial" w:hAnsi="Arial"/>
          <w:b/>
          <w:bCs/>
          <w:color w:val="1B2118"/>
          <w:sz w:val="21"/>
          <w:szCs w:val="21"/>
        </w:rPr>
        <w:t xml:space="preserve">Accessi non riusciti ripetuti</w:t>
      </w:r>
      <w:r>
        <w:rPr>
          <w:rFonts w:ascii="Arial" w:cs="Arial" w:eastAsia="Arial" w:hAnsi="Arial"/>
          <w:color w:val="1B2118"/>
          <w:sz w:val="21"/>
          <w:szCs w:val="21"/>
        </w:rPr>
        <w:t xml:space="preserve">: 5 tentativi falliti in 15 minuti per la stessa email;</w:t>
      </w:r>
    </w:p>
    <w:p>
      <w:pPr>
        <w:pStyle w:val="ListParagraph"/>
        <w:numPr>
          <w:ilvl w:val="0"/>
          <w:numId w:val="2"/>
        </w:numPr>
        <w:spacing w:after="70" w:line="290"/>
      </w:pPr>
      <w:r>
        <w:rPr>
          <w:rFonts w:ascii="Arial" w:cs="Arial" w:eastAsia="Arial" w:hAnsi="Arial"/>
          <w:b/>
          <w:bCs/>
          <w:color w:val="1B2118"/>
          <w:sz w:val="21"/>
          <w:szCs w:val="21"/>
        </w:rPr>
        <w:t xml:space="preserve">Molti accessi non riusciti</w:t>
      </w:r>
      <w:r>
        <w:rPr>
          <w:rFonts w:ascii="Arial" w:cs="Arial" w:eastAsia="Arial" w:hAnsi="Arial"/>
          <w:color w:val="1B2118"/>
          <w:sz w:val="21"/>
          <w:szCs w:val="21"/>
        </w:rPr>
        <w:t xml:space="preserve">: 30 tentativi falliti in un'ora, su più email (possibile attacco);</w:t>
      </w:r>
    </w:p>
    <w:p>
      <w:pPr>
        <w:pStyle w:val="ListParagraph"/>
        <w:numPr>
          <w:ilvl w:val="0"/>
          <w:numId w:val="2"/>
        </w:numPr>
        <w:spacing w:after="70" w:line="290"/>
      </w:pPr>
      <w:r>
        <w:rPr>
          <w:rFonts w:ascii="Arial" w:cs="Arial" w:eastAsia="Arial" w:hAnsi="Arial"/>
          <w:b/>
          <w:bCs/>
          <w:color w:val="1B2118"/>
          <w:sz w:val="21"/>
          <w:szCs w:val="21"/>
        </w:rPr>
        <w:t xml:space="preserve">Nuovo Amministratore</w:t>
      </w:r>
      <w:r>
        <w:rPr>
          <w:rFonts w:ascii="Arial" w:cs="Arial" w:eastAsia="Arial" w:hAnsi="Arial"/>
          <w:color w:val="1B2118"/>
          <w:sz w:val="21"/>
          <w:szCs w:val="21"/>
        </w:rPr>
        <w:t xml:space="preserve">: un utente ottiene il ruolo di Amministratore. Se l'hai nominato tu, l'avviso non arriva.</w:t>
      </w:r>
    </w:p>
    <w:p>
      <w:pPr>
        <w:spacing w:after="140" w:line="300"/>
      </w:pPr>
      <w:r>
        <w:rPr>
          <w:rFonts w:ascii="Arial" w:cs="Arial" w:eastAsia="Arial" w:hAnsi="Arial"/>
          <w:color w:val="1B2118"/>
          <w:sz w:val="21"/>
          <w:szCs w:val="21"/>
        </w:rPr>
        <w:t xml:space="preserve">Davanti a un avviso inatteso: controlla Audit User → Accessi e Operazioni; se serve, disattiva l'utente da Utenti oppure reimposta la password.</w:t>
      </w:r>
    </w:p>
    <w:p>
      <w:pPr>
        <w:spacing w:after="140" w:line="300"/>
      </w:pPr>
      <w:r>
        <w:rPr>
          <w:rFonts w:ascii="Arial" w:cs="Arial" w:eastAsia="Arial" w:hAnsi="Arial"/>
          <w:b/>
          <w:bCs/>
          <w:color w:val="1B2118"/>
          <w:sz w:val="21"/>
          <w:szCs w:val="21"/>
        </w:rPr>
        <w:t xml:space="preserve">Protezioni del sito.</w:t>
      </w:r>
      <w:r>
        <w:rPr>
          <w:rFonts w:ascii="Arial" w:cs="Arial" w:eastAsia="Arial" w:hAnsi="Arial"/>
          <w:color w:val="1B2118"/>
          <w:sz w:val="21"/>
          <w:szCs w:val="21"/>
        </w:rPr>
        <w:t xml:space="preserve"> Il portale si apre solo in https e non si può incorporare in pagine di altri siti (contro il clickjacking). Carica programmi solo da sé stesso e si collega solo a Supabase. Le librerie vengono controllate a ogni rilascio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al 20/10/2026). Le regole sono nel file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se cambia il progetto Supabase, va aggiornato anche lì (vedi Istruzioni di ripristino).</w:t>
      </w:r>
    </w:p>
    <w:p>
      <w:pPr>
        <w:spacing w:after="140" w:line="30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Le funzioni riservate non sono eseguibili da chi non ha fatto l'accesso. Ogni funzione ha il percorso di ricerca fisso, come raccomanda il Security Advisor di Supabase (Supabase → Advisors → Security Advisor). Il controllo si rifà dopo ogni nuovo script.</w:t>
      </w:r>
    </w:p>
    <w:p>
      <w:pPr>
        <w:pStyle w:val="Heading1"/>
        <w:pageBreakBefore/>
        <w:pBdr>
          <w:bottom w:val="single" w:color="2F5D3A" w:sz="12" w:space="6"/>
        </w:pBdr>
        <w:spacing w:after="240" w:before="0"/>
      </w:pPr>
      <w:bookmarkStart w:name="cap29" w:id="1"/>
      <w:r>
        <w:rPr>
          <w:rFonts w:ascii="Arial" w:cs="Arial" w:eastAsia="Arial" w:hAnsi="Arial"/>
          <w:b/>
          <w:bCs/>
          <w:color w:val="2F5D3A"/>
          <w:sz w:val="34"/>
          <w:szCs w:val="34"/>
        </w:rPr>
        <w:t xml:space="preserve">29.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Le procedure complete sono in un documento a parte, 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 solo Amministratori; una copia è anche in ogni archivio di backup). Spiegano dove stanno codice e dati, quali copie fare e con che frequenza, e come rimettere in funzione GitHub, Vercel, Supabase, Resend e il progetto Claude. In sintesi:</w:t>
      </w:r>
    </w:p>
    <w:p>
      <w:pPr>
        <w:pStyle w:val="ListParagraph"/>
        <w:numPr>
          <w:ilvl w:val="0"/>
          <w:numId w:val="2"/>
        </w:numPr>
        <w:spacing w:after="70" w:line="290"/>
      </w:pPr>
      <w:r>
        <w:rPr>
          <w:rFonts w:ascii="Arial" w:cs="Arial" w:eastAsia="Arial" w:hAnsi="Arial"/>
          <w:color w:val="1B2118"/>
          <w:sz w:val="21"/>
          <w:szCs w:val="21"/>
        </w:rPr>
        <w:t xml:space="preserve">a ogni rilascio importante si chiede a Claude l'archivio di backup completo e lo si conserva in due posti (computer e Google Drive);</w:t>
      </w:r>
    </w:p>
    <w:p>
      <w:pPr>
        <w:pStyle w:val="ListParagraph"/>
        <w:numPr>
          <w:ilvl w:val="0"/>
          <w:numId w:val="2"/>
        </w:numPr>
        <w:spacing w:after="70" w:line="290"/>
      </w:pPr>
      <w:r>
        <w:rPr>
          <w:rFonts w:ascii="Arial" w:cs="Arial" w:eastAsia="Arial" w:hAnsi="Arial"/>
          <w:color w:val="1B2118"/>
          <w:sz w:val="21"/>
          <w:szCs w:val="21"/>
        </w:rPr>
        <w:t xml:space="preserve">le copie del database di Supabase non contengono i file caricati: i file si copiano a parte;</w:t>
      </w:r>
    </w:p>
    <w:p>
      <w:pPr>
        <w:pStyle w:val="ListParagraph"/>
        <w:numPr>
          <w:ilvl w:val="0"/>
          <w:numId w:val="2"/>
        </w:numPr>
        <w:spacing w:after="70" w:line="290"/>
      </w:pPr>
      <w:r>
        <w:rPr>
          <w:rFonts w:ascii="Arial" w:cs="Arial" w:eastAsia="Arial" w:hAnsi="Arial"/>
          <w:color w:val="1B2118"/>
          <w:sz w:val="21"/>
          <w:szCs w:val="21"/>
        </w:rPr>
        <w:t xml:space="preserve">se un rilascio rompe qualcosa, su Vercel si ripubblica la versione precedente (</w:t>
      </w:r>
      <w:r>
        <w:rPr>
          <w:rFonts w:ascii="Arial" w:cs="Arial" w:eastAsia="Arial" w:hAnsi="Arial"/>
          <w:i/>
          <w:iCs/>
          <w:color w:val="1B2118"/>
          <w:sz w:val="21"/>
          <w:szCs w:val="21"/>
        </w:rPr>
        <w:t xml:space="preserve">Deployments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Promote to Production</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un repository GitHub cancellato si recupera entro 90 giorni da </w:t>
      </w:r>
      <w:r>
        <w:rPr>
          <w:rFonts w:ascii="Arial" w:cs="Arial" w:eastAsia="Arial" w:hAnsi="Arial"/>
          <w:i/>
          <w:iCs/>
          <w:color w:val="1B2118"/>
          <w:sz w:val="21"/>
          <w:szCs w:val="21"/>
        </w:rPr>
        <w:t xml:space="preserve">Settings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Repositories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Deleted repositories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30" w:id="1"/>
      <w:r>
        <w:rPr>
          <w:rFonts w:ascii="Arial" w:cs="Arial" w:eastAsia="Arial" w:hAnsi="Arial"/>
          <w:b/>
          <w:bCs/>
          <w:color w:val="2F5D3A"/>
          <w:sz w:val="34"/>
          <w:szCs w:val="34"/>
        </w:rPr>
        <w:t xml:space="preserve">30.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o in attesa di passaggi esterni,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Accesso degli stakeholder con SPID, CIE o CNS</w:t>
      </w:r>
      <w:r>
        <w:rPr>
          <w:rFonts w:ascii="Arial" w:cs="Arial" w:eastAsia="Arial" w:hAnsi="Arial"/>
          <w:color w:val="1B2118"/>
          <w:sz w:val="21"/>
          <w:szCs w:val="21"/>
        </w:rPr>
        <w:t xml:space="preserve"> (Guida 3.9): serve l'adesione della Fondazione come fornitore di servizi (con AgID o con un aggregatore accreditato) e il relativo contratto. Intanto chi partecipa al feedback pubblico si identifica con l'email confermata.</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pStyle w:val="ListParagraph"/>
        <w:numPr>
          <w:ilvl w:val="0"/>
          <w:numId w:val="2"/>
        </w:numPr>
        <w:spacing w:after="70" w:line="290"/>
      </w:pP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disponibile con PDF impaginato ed export Excel (capitolo «Simulatore di scenari»). In arrivo, se la Fondazione lo decide, la visione dello scenario da parte del Comune.</w:t>
      </w:r>
    </w:p>
    <w:p>
      <w:pPr>
        <w:pStyle w:val="ListParagraph"/>
        <w:numPr>
          <w:ilvl w:val="0"/>
          <w:numId w:val="2"/>
        </w:numPr>
        <w:spacing w:after="70" w:line="290"/>
      </w:pPr>
      <w:r>
        <w:rPr>
          <w:rFonts w:ascii="Arial" w:cs="Arial" w:eastAsia="Arial" w:hAnsi="Arial"/>
          <w:b/>
          <w:bCs/>
          <w:color w:val="1B2118"/>
          <w:sz w:val="21"/>
          <w:szCs w:val="21"/>
        </w:rPr>
        <w:t xml:space="preserve">Assistente virtuale, passi successivi:</w:t>
      </w:r>
      <w:r>
        <w:rPr>
          <w:rFonts w:ascii="Arial" w:cs="Arial" w:eastAsia="Arial" w:hAnsi="Arial"/>
          <w:color w:val="1B2118"/>
          <w:sz w:val="21"/>
          <w:szCs w:val="21"/>
        </w:rPr>
        <w:t xml:space="preserve"> la prima versione risponde sul funzionamento del portale (capitolo «Assistente virtuale»). In arrivo: estensione agli Operatori e, con regole sulla privacy, l'aiuto sulla singola pratica (cosa manca, bozze di richieste di integrazione e di risposte, spiegazione dei risultati del calcolo). Resta un supporto: le decisioni restano alla Fondazione.</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6.6 · 26/10/2026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6.6 · 26/10/2026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ukobi57uccykkxpev7kw3"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6.6)</dc:title>
  <dc:creator>Fondazione Operate</dc:creator>
  <cp:lastModifiedBy>Un-named</cp:lastModifiedBy>
  <cp:revision>1</cp:revision>
  <dcterms:created xsi:type="dcterms:W3CDTF">2026-10-26T07:01:40.759Z</dcterms:created>
  <dcterms:modified xsi:type="dcterms:W3CDTF">2026-10-26T07:01:40.759Z</dcterms:modified>
</cp:coreProperties>
</file>

<file path=docProps/custom.xml><?xml version="1.0" encoding="utf-8"?>
<Properties xmlns="http://schemas.openxmlformats.org/officeDocument/2006/custom-properties" xmlns:vt="http://schemas.openxmlformats.org/officeDocument/2006/docPropsVTypes"/>
</file>