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1.1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18/10/2026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1.1 del 18/10/2026.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4</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5</w:t>
        </w:r>
      </w:hyperlink>
    </w:p>
    <w:p>
      <w:pPr>
        <w:tabs>
          <w:tab w:val="right" w:pos="9638" w:leader="dot"/>
        </w:tabs>
        <w:spacing w:after="130"/>
      </w:pPr>
      <w:hyperlink w:history="1" w:anchor="cap3">
        <w:r>
          <w:rPr>
            <w:rFonts w:ascii="Arial" w:cs="Arial" w:eastAsia="Arial" w:hAnsi="Arial"/>
            <w:color w:val="1B2118"/>
            <w:sz w:val="22"/>
            <w:szCs w:val="22"/>
          </w:rPr>
          <w:t xml:space="preserve">3.  Cruscotto</w:t>
        </w:r>
        <w:r>
          <w:rPr>
            <w:rFonts w:ascii="Arial" w:cs="Arial" w:eastAsia="Arial" w:hAnsi="Arial"/>
            <w:color w:val="1B2118"/>
            <w:sz w:val="22"/>
            <w:szCs w:val="22"/>
          </w:rPr>
          <w:tab/>
          <w:t xml:space="preserve">6</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7</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8</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9</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8">
        <w:r>
          <w:rPr>
            <w:rFonts w:ascii="Arial" w:cs="Arial" w:eastAsia="Arial" w:hAnsi="Arial"/>
            <w:color w:val="1B2118"/>
            <w:sz w:val="22"/>
            <w:szCs w:val="22"/>
          </w:rPr>
          <w:t xml:space="preserve">8.  Consultazione pubblica</w:t>
        </w:r>
        <w:r>
          <w:rPr>
            <w:rFonts w:ascii="Arial" w:cs="Arial" w:eastAsia="Arial" w:hAnsi="Arial"/>
            <w:color w:val="1B2118"/>
            <w:sz w:val="22"/>
            <w:szCs w:val="22"/>
          </w:rPr>
          <w:tab/>
          <w:t xml:space="preserve">11</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13</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14</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15</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16</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17</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18</w:t>
        </w:r>
      </w:hyperlink>
    </w:p>
    <w:p>
      <w:pPr>
        <w:tabs>
          <w:tab w:val="right" w:pos="9638" w:leader="dot"/>
        </w:tabs>
        <w:spacing w:after="130"/>
      </w:pPr>
      <w:hyperlink w:history="1" w:anchor="cap15">
        <w:r>
          <w:rPr>
            <w:rFonts w:ascii="Arial" w:cs="Arial" w:eastAsia="Arial" w:hAnsi="Arial"/>
            <w:color w:val="1B2118"/>
            <w:sz w:val="22"/>
            <w:szCs w:val="22"/>
          </w:rPr>
          <w:t xml:space="preserve">15.  Impostazioni: fasi, Enti di Validazione e modelli</w:t>
        </w:r>
        <w:r>
          <w:rPr>
            <w:rFonts w:ascii="Arial" w:cs="Arial" w:eastAsia="Arial" w:hAnsi="Arial"/>
            <w:color w:val="1B2118"/>
            <w:sz w:val="22"/>
            <w:szCs w:val="22"/>
          </w:rPr>
          <w:tab/>
          <w:t xml:space="preserve">19</w:t>
        </w:r>
      </w:hyperlink>
    </w:p>
    <w:p>
      <w:pPr>
        <w:tabs>
          <w:tab w:val="right" w:pos="9638" w:leader="dot"/>
        </w:tabs>
        <w:spacing w:after="130"/>
      </w:pPr>
      <w:hyperlink w:history="1" w:anchor="cap16">
        <w:r>
          <w:rPr>
            <w:rFonts w:ascii="Arial" w:cs="Arial" w:eastAsia="Arial" w:hAnsi="Arial"/>
            <w:color w:val="1B2118"/>
            <w:sz w:val="22"/>
            <w:szCs w:val="22"/>
          </w:rPr>
          <w:t xml:space="preserve">16.  Calcolo dei crediti CWP</w:t>
        </w:r>
        <w:r>
          <w:rPr>
            <w:rFonts w:ascii="Arial" w:cs="Arial" w:eastAsia="Arial" w:hAnsi="Arial"/>
            <w:color w:val="1B2118"/>
            <w:sz w:val="22"/>
            <w:szCs w:val="22"/>
          </w:rPr>
          <w:tab/>
          <w:t xml:space="preserve">21</w:t>
        </w:r>
      </w:hyperlink>
    </w:p>
    <w:p>
      <w:pPr>
        <w:tabs>
          <w:tab w:val="right" w:pos="9638" w:leader="dot"/>
        </w:tabs>
        <w:spacing w:after="130"/>
      </w:pPr>
      <w:hyperlink w:history="1" w:anchor="cap17">
        <w:r>
          <w:rPr>
            <w:rFonts w:ascii="Arial" w:cs="Arial" w:eastAsia="Arial" w:hAnsi="Arial"/>
            <w:color w:val="1B2118"/>
            <w:sz w:val="22"/>
            <w:szCs w:val="22"/>
          </w:rPr>
          <w:t xml:space="preserve">17.  Documentazione e manuali</w:t>
        </w:r>
        <w:r>
          <w:rPr>
            <w:rFonts w:ascii="Arial" w:cs="Arial" w:eastAsia="Arial" w:hAnsi="Arial"/>
            <w:color w:val="1B2118"/>
            <w:sz w:val="22"/>
            <w:szCs w:val="22"/>
          </w:rPr>
          <w:tab/>
          <w:t xml:space="preserve">25</w:t>
        </w:r>
      </w:hyperlink>
    </w:p>
    <w:p>
      <w:pPr>
        <w:tabs>
          <w:tab w:val="right" w:pos="9638" w:leader="dot"/>
        </w:tabs>
        <w:spacing w:after="130"/>
      </w:pPr>
      <w:hyperlink w:history="1" w:anchor="cap18">
        <w:r>
          <w:rPr>
            <w:rFonts w:ascii="Arial" w:cs="Arial" w:eastAsia="Arial" w:hAnsi="Arial"/>
            <w:color w:val="1B2118"/>
            <w:sz w:val="22"/>
            <w:szCs w:val="22"/>
          </w:rPr>
          <w:t xml:space="preserve">18.  Manutenzione ed emergenze</w:t>
        </w:r>
        <w:r>
          <w:rPr>
            <w:rFonts w:ascii="Arial" w:cs="Arial" w:eastAsia="Arial" w:hAnsi="Arial"/>
            <w:color w:val="1B2118"/>
            <w:sz w:val="22"/>
            <w:szCs w:val="22"/>
          </w:rPr>
          <w:tab/>
          <w:t xml:space="preserve">26</w:t>
        </w:r>
      </w:hyperlink>
    </w:p>
    <w:p>
      <w:pPr>
        <w:tabs>
          <w:tab w:val="right" w:pos="9638" w:leader="dot"/>
        </w:tabs>
        <w:spacing w:after="130"/>
      </w:pPr>
      <w:hyperlink w:history="1" w:anchor="cap19">
        <w:r>
          <w:rPr>
            <w:rFonts w:ascii="Arial" w:cs="Arial" w:eastAsia="Arial" w:hAnsi="Arial"/>
            <w:color w:val="1B2118"/>
            <w:sz w:val="22"/>
            <w:szCs w:val="22"/>
          </w:rPr>
          <w:t xml:space="preserve">19.  Funzioni in arrivo</w:t>
        </w:r>
        <w:r>
          <w:rPr>
            <w:rFonts w:ascii="Arial" w:cs="Arial" w:eastAsia="Arial" w:hAnsi="Arial"/>
            <w:color w:val="1B2118"/>
            <w:sz w:val="22"/>
            <w:szCs w:val="22"/>
          </w:rPr>
          <w:tab/>
          <w:t xml:space="preserve">27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52"/>
        <w:gridCol w:w="2576"/>
        <w:gridCol w:w="2010"/>
      </w:tblGrid>
      <w:tr>
        <w:trPr>
          <w:tblHeader/>
        </w:trPr>
        <w:tc>
          <w:tcPr>
            <w:tcW w:type="dxa" w:w="5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5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fasi, scadenze</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consultazione, pagamenti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(durata delle fasi, Enti di Validazione, modelli)</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5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5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il suo rapporto viene caricato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modifica di una scadenza,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dn-bxg0vzp5qamcmemdcx">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Pratiche, Utenti, Audit, Crediti CWP,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Cruscotto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Cruscotto</w:t>
      </w:r>
      <w:r>
        <w:rPr>
          <w:rFonts w:ascii="Arial" w:cs="Arial" w:eastAsia="Arial" w:hAnsi="Arial"/>
          <w:color w:val="1B2118"/>
          <w:sz w:val="21"/>
          <w:szCs w:val="21"/>
        </w:rPr>
        <w:t xml:space="preserve"> è la pagina iniziale dello staff: mostra in un'unica tabella tutte le pratiche, Progetti e Rapporti, con la fase corrente, la scadenza e ciò che c'è da fare.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6"/>
        <w:gridCol w:w="6632"/>
      </w:tblGrid>
      <w:tr>
        <w:trPr>
          <w:tblHeader/>
        </w:trPr>
        <w:tc>
          <w:tcPr>
            <w:tcW w:type="dxa" w:w="30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6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30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6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30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attive</w:t>
            </w:r>
          </w:p>
        </w:tc>
        <w:tc>
          <w:tcPr>
            <w:tcW w:type="dxa" w:w="66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Consultazioni pubbliche aperte</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consultazione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5"/>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Ogni Rapporto ha fasi, documenti e pagamenti propri, senza consultazione pubblica.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referente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9"/>
        <w:gridCol w:w="1537"/>
        <w:gridCol w:w="6252"/>
      </w:tblGrid>
      <w:tr>
        <w:trPr>
          <w:tblHeader/>
        </w:trPr>
        <w:tc>
          <w:tcPr>
            <w:tcW w:type="dxa" w:w="18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15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62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18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15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18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15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62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bl>
    <w:p>
      <w:pPr>
        <w:spacing w:after="160"/>
      </w:pP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in Impostazioni (capitolo «Impostazioni»).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68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Annulla, Chiudi pratica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w:t>
            </w:r>
          </w:p>
        </w:tc>
      </w:tr>
      <w:tr>
        <w:trPr>
          <w:cantSplit/>
        </w:trPr>
        <w:tc>
          <w:tcPr>
            <w:tcW w:type="dxa" w:w="2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68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w:t>
            </w:r>
          </w:p>
        </w:tc>
      </w:tr>
      <w:tr>
        <w:trPr>
          <w:cantSplit/>
        </w:trPr>
        <w:tc>
          <w:tcPr>
            <w:tcW w:type="dxa" w:w="2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68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6"/>
        </w:numPr>
        <w:spacing w:after="70" w:line="290"/>
      </w:pPr>
      <w:r>
        <w:rPr>
          <w:rFonts w:ascii="Arial" w:cs="Arial" w:eastAsia="Arial" w:hAnsi="Arial"/>
          <w:color w:val="1B2118"/>
          <w:sz w:val="21"/>
          <w:szCs w:val="21"/>
        </w:rPr>
        <w:t xml:space="preserve">Premete il pulsante desiderato.</w:t>
      </w:r>
    </w:p>
    <w:p>
      <w:pPr>
        <w:pStyle w:val="ListParagraph"/>
        <w:numPr>
          <w:ilvl w:val="0"/>
          <w:numId w:val="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o chiusa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contratto, allegati, documentazione amministrativa).</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Contratto, Allegato al contratto, Documentazione amministrativa, Documento di progetto, Rapporto dell'Ente di Validazione, Integrazione, Altro.</w:t>
      </w:r>
    </w:p>
    <w:p>
      <w:pPr>
        <w:pStyle w:val="ListParagraph"/>
        <w:numPr>
          <w:ilvl w:val="0"/>
          <w:numId w:val="7"/>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la modifica è registrata nell'audit. Il Rapporto di RINA va caricato con tipologia </w:t>
      </w:r>
      <w:r>
        <w:rPr>
          <w:rFonts w:ascii="Arial" w:cs="Arial" w:eastAsia="Arial" w:hAnsi="Arial"/>
          <w:i/>
          <w:iCs/>
          <w:color w:val="1B2118"/>
          <w:sz w:val="21"/>
          <w:szCs w:val="21"/>
        </w:rPr>
        <w:t xml:space="preserve">Rapporto dell'Ente di Validazione</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8"/>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8"/>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8"/>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 Cruscotto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Consultazione pubblica</w:t>
      </w:r>
      <w:bookmarkEnd w:id="1"/>
    </w:p>
    <w:p>
      <w:pPr>
        <w:spacing w:after="140" w:line="300"/>
      </w:pPr>
      <w:r>
        <w:rPr>
          <w:rFonts w:ascii="Arial" w:cs="Arial" w:eastAsia="Arial" w:hAnsi="Arial"/>
          <w:color w:val="1B2118"/>
          <w:sz w:val="21"/>
          <w:szCs w:val="21"/>
        </w:rPr>
        <w:t xml:space="preserve">La consultazione pubblica riguarda solo i Progetti (fase 3) e dura 30 giorni.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aperta a tutti senza credenziali e collegata anche dalla pagina di accesso.</w:t>
      </w:r>
    </w:p>
    <w:p>
      <w:pPr>
        <w:spacing w:after="140" w:line="300"/>
      </w:pPr>
      <w:r>
        <w:rPr>
          <w:rFonts w:ascii="Arial" w:cs="Arial" w:eastAsia="Arial" w:hAnsi="Arial"/>
          <w:b/>
          <w:bCs/>
          <w:color w:val="1B2118"/>
          <w:sz w:val="21"/>
          <w:szCs w:val="21"/>
        </w:rPr>
        <w:t xml:space="preserve">Aprire la consultazione</w:t>
      </w:r>
    </w:p>
    <w:p>
      <w:pPr>
        <w:pStyle w:val="ListParagraph"/>
        <w:numPr>
          <w:ilvl w:val="0"/>
          <w:numId w:val="9"/>
        </w:numPr>
        <w:spacing w:after="70" w:line="290"/>
      </w:pPr>
      <w:r>
        <w:rPr>
          <w:rFonts w:ascii="Arial" w:cs="Arial" w:eastAsia="Arial" w:hAnsi="Arial"/>
          <w:color w:val="1B2118"/>
          <w:sz w:val="21"/>
          <w:szCs w:val="21"/>
        </w:rPr>
        <w:t xml:space="preserve">Caricate prima il documento da sottoporre a consultazione (capitolo «Documenti e visibilità»).</w:t>
      </w:r>
    </w:p>
    <w:p>
      <w:pPr>
        <w:pStyle w:val="ListParagraph"/>
        <w:numPr>
          <w:ilvl w:val="0"/>
          <w:numId w:val="9"/>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Consultazione pubblica</w:t>
      </w:r>
      <w:r>
        <w:rPr>
          <w:rFonts w:ascii="Arial" w:cs="Arial" w:eastAsia="Arial" w:hAnsi="Arial"/>
          <w:color w:val="1B2118"/>
          <w:sz w:val="21"/>
          <w:szCs w:val="21"/>
        </w:rPr>
        <w:t xml:space="preserve"> della pratica scegliete il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consultazione</w:t>
      </w:r>
      <w:r>
        <w:rPr>
          <w:rFonts w:ascii="Arial" w:cs="Arial" w:eastAsia="Arial" w:hAnsi="Arial"/>
          <w:color w:val="1B2118"/>
          <w:sz w:val="21"/>
          <w:szCs w:val="21"/>
        </w:rPr>
        <w:t xml:space="preserve">. Il periodo va da oggi a 30 giorni dopo, il Comune riceve la notifica e la consultazione compare nell'elenco pubblico.</w:t>
      </w:r>
    </w:p>
    <w:p>
      <w:pPr>
        <w:spacing w:after="60"/>
      </w:pP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Lo staff vede di ogni osservazione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può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(motivazione «Non ammesso dal moderatore»)</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consultazione contiene un errore:</w:t>
      </w:r>
    </w:p>
    <w:p>
      <w:pPr>
        <w:pStyle w:val="ListParagraph"/>
        <w:numPr>
          <w:ilvl w:val="0"/>
          <w:numId w:val="10"/>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0"/>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30 giorni da oggi</w:t>
      </w:r>
      <w:r>
        <w:rPr>
          <w:rFonts w:ascii="Arial" w:cs="Arial" w:eastAsia="Arial" w:hAnsi="Arial"/>
          <w:color w:val="1B2118"/>
          <w:sz w:val="21"/>
          <w:szCs w:val="21"/>
        </w:rPr>
        <w:t xml:space="preserve">: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la consultazione.</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consultazione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una consultazione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 incasso</w:t>
      </w:r>
    </w:p>
    <w:p>
      <w:pPr>
        <w:pStyle w:val="ListParagraph"/>
        <w:numPr>
          <w:ilvl w:val="0"/>
          <w:numId w:val="12"/>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Il portale registra automaticamente chi ha inserito l'incasso, e l'operazione finisce nell'audit.</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5938"/>
      </w:tblGrid>
      <w:tr>
        <w:trPr>
          <w:tblHeader/>
        </w:trPr>
        <w:tc>
          <w:tcPr>
            <w:tcW w:type="dxa" w:w="37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5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delle fasi e dei documenti, con l'impronta SHA-256</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consultazione.csv, consultazione_info.txt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c'è stata una consultazione</w:t>
            </w:r>
          </w:p>
        </w:tc>
      </w:tr>
      <w:tr>
        <w:trPr>
          <w:cantSplit/>
        </w:trPr>
        <w:tc>
          <w:tcPr>
            <w:tcW w:type="dxa" w:w="37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5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w:t>
            </w:r>
          </w:p>
        </w:tc>
      </w:tr>
      <w:tr>
        <w:trPr>
          <w:cantSplit/>
        </w:trPr>
        <w:tc>
          <w:tcPr>
            <w:tcW w:type="dxa" w:w="37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5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e audit.</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2"/>
        <w:gridCol w:w="5096"/>
      </w:tblGrid>
      <w:tr>
        <w:trPr>
          <w:tblHeader/>
        </w:trPr>
        <w:tc>
          <w:tcPr>
            <w:tcW w:type="dxa" w:w="45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5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la consultazione pubblica o esce un'errata corrige</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5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5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5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Creare un utente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w:t>
      </w:r>
    </w:p>
    <w:p>
      <w:pPr>
        <w:pStyle w:val="ListParagraph"/>
        <w:numPr>
          <w:ilvl w:val="0"/>
          <w:numId w:val="1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Comunicate all'utente email e password temporanea con un canale sicuro, separato dall'email di benvenuto.</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le associazioni alle organizzazioni si azzerano.</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4"/>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4"/>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4"/>
        </w:numPr>
        <w:spacing w:after="70" w:line="290"/>
      </w:pPr>
      <w:r>
        <w:rPr>
          <w:rFonts w:ascii="Arial" w:cs="Arial" w:eastAsia="Arial" w:hAnsi="Arial"/>
          <w:color w:val="1B2118"/>
          <w:sz w:val="21"/>
          <w:szCs w:val="21"/>
        </w:rPr>
        <w:t xml:space="preserve">Comunicate la password temporanea all'utente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Dal portale non si creano né si nominano Amministratori: si fa da Supabase, per sicurezza. La password di un Amministratore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cambi di stato della pratica, caricamenti di documenti con la versione, modifiche di visibilità, apertura e chiusura della consultazione, moderazione delle osservazioni, richieste e chiusure di integrazione, incassi,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Impostazioni: fasi, Enti di Validazione e modelli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ha tre sezioni: durata delle fasi, Enti di Validazione e modelli di documento.</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La sezione fissa quanti giorni dura ogni fase. Quando un Operatore apre una fase, la scadenza è calcolata con questi valori.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91"/>
        <w:gridCol w:w="3096"/>
        <w:gridCol w:w="2451"/>
      </w:tblGrid>
      <w:tr>
        <w:trPr>
          <w:tblHeader/>
        </w:trPr>
        <w:tc>
          <w:tcPr>
            <w:tcW w:type="dxa" w:w="40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30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45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Consultazione pubblica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r>
      <w:tr>
        <w:trPr>
          <w:cantSplit/>
        </w:trPr>
        <w:tc>
          <w:tcPr>
            <w:tcW w:type="dxa" w:w="40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0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45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r>
      <w:tr>
        <w:trPr>
          <w:cantSplit/>
        </w:trPr>
        <w:tc>
          <w:tcPr>
            <w:tcW w:type="dxa" w:w="40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0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45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15"/>
        </w:numPr>
        <w:spacing w:after="70" w:line="290"/>
      </w:pPr>
      <w:r>
        <w:rPr>
          <w:rFonts w:ascii="Arial" w:cs="Arial" w:eastAsia="Arial" w:hAnsi="Arial"/>
          <w:color w:val="1B2118"/>
          <w:sz w:val="21"/>
          <w:szCs w:val="21"/>
        </w:rPr>
        <w:t xml:space="preserve">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15"/>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che validano i Progetti (ad esempio RINA). Gli enti non accedono al portale.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w:t>
      </w:r>
    </w:p>
    <w:p>
      <w:pPr>
        <w:pStyle w:val="ListParagraph"/>
        <w:numPr>
          <w:ilvl w:val="0"/>
          <w:numId w:val="1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(il modello comparirà dentro quella fase in ogni pratica,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17"/>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Calcolo dei crediti CWP</w:t>
      </w:r>
      <w:bookmarkEnd w:id="1"/>
    </w:p>
    <w:p>
      <w:pPr>
        <w:spacing w:after="140" w:line="300"/>
      </w:pPr>
      <w:r>
        <w:rPr>
          <w:rFonts w:ascii="Arial" w:cs="Arial" w:eastAsia="Arial" w:hAnsi="Arial"/>
          <w:color w:val="1B2118"/>
          <w:sz w:val="21"/>
          <w:szCs w:val="21"/>
        </w:rPr>
        <w:t xml:space="preserve">La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dal 30% in giù (Tabelle 15 e 16)</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77"/>
        <w:gridCol w:w="4861"/>
      </w:tblGrid>
      <w:tr>
        <w:trPr>
          <w:tblHeader/>
        </w:trPr>
        <w:tc>
          <w:tcPr>
            <w:tcW w:type="dxa" w:w="47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486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47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48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Impostazioni</w:t>
            </w:r>
          </w:p>
        </w:tc>
      </w:tr>
      <w:tr>
        <w:trPr>
          <w:cantSplit/>
        </w:trPr>
        <w:tc>
          <w:tcPr>
            <w:tcW w:type="dxa" w:w="47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48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47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48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47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48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47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486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dopo l'aggregazione</w:t>
            </w:r>
          </w:p>
        </w:tc>
      </w:tr>
      <w:tr>
        <w:trPr>
          <w:cantSplit/>
        </w:trPr>
        <w:tc>
          <w:tcPr>
            <w:tcW w:type="dxa" w:w="47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486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o numeri di contratto. Se il file del Comune contiene dati personali, non va caricato nel calcolo: chiedete al Comune di sostituirli con codici.</w:t>
      </w:r>
    </w:p>
    <w:p>
      <w:pPr>
        <w:spacing w:after="140" w:line="300"/>
      </w:pPr>
      <w:r>
        <w:rPr>
          <w:rFonts w:ascii="Arial" w:cs="Arial" w:eastAsia="Arial" w:hAnsi="Arial"/>
          <w:color w:val="1B2118"/>
          <w:sz w:val="21"/>
          <w:szCs w:val="21"/>
        </w:rPr>
        <w:t xml:space="preserve">Oggi ogni tabella si importa in </w:t>
      </w: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dal file Excel del Comune si salva il foglio come «CSV UTF-8» e lo si importa nel passo corrispondente. Ogni tabella ha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che mostra le intestazioni attese. L'import diretto del file Excel e l'aggregazione automatica delle singole letture sono in sviluppo (capitolo «Funzioni in arrivo»).</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1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parte dal 30% e si riduce in base a come il Comune misura i conferimenti: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w:t>
      </w:r>
    </w:p>
    <w:p>
      <w:pPr>
        <w:pStyle w:val="ListParagraph"/>
        <w:numPr>
          <w:ilvl w:val="0"/>
          <w:numId w:val="19"/>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import diretto del tracciato dati Excel/ZIP caricato dal Comune, riassunto automatico delle singole letture, controllo dei dati personali, controlli di coerenza, rapporto di calcolo in PDF, registro dei crediti.</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spacing w:after="140" w:line="300"/>
      </w:pPr>
      <w:r>
        <w:rPr>
          <w:rFonts w:ascii="Arial" w:cs="Arial" w:eastAsia="Arial" w:hAnsi="Arial"/>
          <w:color w:val="1B2118"/>
          <w:sz w:val="21"/>
          <w:szCs w:val="21"/>
        </w:rPr>
        <w:t xml:space="preserve">In valutazione: un </w:t>
      </w:r>
      <w:r>
        <w:rPr>
          <w:rFonts w:ascii="Arial" w:cs="Arial" w:eastAsia="Arial" w:hAnsi="Arial"/>
          <w:b/>
          <w:bCs/>
          <w:color w:val="1B2118"/>
          <w:sz w:val="21"/>
          <w:szCs w:val="21"/>
        </w:rPr>
        <w:t xml:space="preserve">assistente AI (Claude) integrato nel portale</w:t>
      </w:r>
      <w:r>
        <w:rPr>
          <w:rFonts w:ascii="Arial" w:cs="Arial" w:eastAsia="Arial" w:hAnsi="Arial"/>
          <w:color w:val="1B2118"/>
          <w:sz w:val="21"/>
          <w:szCs w:val="21"/>
        </w:rPr>
        <w:t xml:space="preserve">, per aiutare i Comuni nella compilazione e gli Operatori nei controlli.</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1.1 · 18/10/2026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1.1 · 18/10/2026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dn-bxg0vzp5qamcmemdcx"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1.1)</dc:title>
  <dc:creator>Fondazione Operate</dc:creator>
  <cp:lastModifiedBy>Un-named</cp:lastModifiedBy>
  <cp:revision>1</cp:revision>
  <dcterms:created xsi:type="dcterms:W3CDTF">2026-10-18T12:46:18.786Z</dcterms:created>
  <dcterms:modified xsi:type="dcterms:W3CDTF">2026-10-18T12:46:18.786Z</dcterms:modified>
</cp:coreProperties>
</file>

<file path=docProps/custom.xml><?xml version="1.0" encoding="utf-8"?>
<Properties xmlns="http://schemas.openxmlformats.org/officeDocument/2006/custom-properties" xmlns:vt="http://schemas.openxmlformats.org/officeDocument/2006/docPropsVTypes"/>
</file>