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1.5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10</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12</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14</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19</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20</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22</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shd w:fill="F6F4EE" w:color="auto" w:val="clear"/>
        <w:spacing w:after="0" w:before="60" w:line="220"/>
      </w:pPr>
      <w:r>
        <w:rPr>
          <w:rFonts w:ascii="Consolas" w:cs="Consolas" w:eastAsia="Consolas" w:hAnsi="Consolas"/>
          <w:color w:val="1B2118"/>
          <w:sz w:val="14"/>
          <w:szCs w:val="14"/>
        </w:rPr>
        <w:t xml:space="preserve"> Utenti (browser)</w:t>
      </w:r>
    </w:p>
    <w:p>
      <w:pPr>
        <w:shd w:fill="F6F4EE" w:color="auto" w:val="clear"/>
        <w:spacing w:after="0" w:before="0" w:line="220"/>
      </w:pPr>
      <w:r>
        <w:rPr>
          <w:rFonts w:ascii="Consolas" w:cs="Consolas" w:eastAsia="Consolas" w:hAnsi="Consolas"/>
          <w:color w:val="1B2118"/>
          <w:sz w:val="14"/>
          <w:szCs w:val="14"/>
        </w:rPr>
        <w:t xml:space="preserve">      │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VERCEL                   │        │ SUPABASE (progetto "portale-cwp",        │</w:t>
      </w:r>
    </w:p>
    <w:p>
      <w:pPr>
        <w:shd w:fill="F6F4EE" w:color="auto" w:val="clear"/>
        <w:spacing w:after="0" w:before="0" w:line="220"/>
      </w:pPr>
      <w:r>
        <w:rPr>
          <w:rFonts w:ascii="Consolas" w:cs="Consolas" w:eastAsia="Consolas" w:hAnsi="Consolas"/>
          <w:color w:val="1B2118"/>
          <w:sz w:val="14"/>
          <w:szCs w:val="14"/>
        </w:rPr>
        <w:t xml:space="preserve"> │ portale-cwp.vercel.app   │ ─────▶ │ organizzazione Fondazione Operate)       │</w:t>
      </w:r>
    </w:p>
    <w:p>
      <w:pPr>
        <w:shd w:fill="F6F4EE" w:color="auto" w:val="clear"/>
        <w:spacing w:after="0" w:before="0" w:line="220"/>
      </w:pPr>
      <w:r>
        <w:rPr>
          <w:rFonts w:ascii="Consolas" w:cs="Consolas" w:eastAsia="Consolas" w:hAnsi="Consolas"/>
          <w:color w:val="1B2118"/>
          <w:sz w:val="14"/>
          <w:szCs w:val="14"/>
        </w:rPr>
        <w:t xml:space="preserve"> │ React + Vite (sito       │  API   │  • Postgres: tabelle, regole RLS,        │</w:t>
      </w:r>
    </w:p>
    <w:p>
      <w:pPr>
        <w:shd w:fill="F6F4EE" w:color="auto" w:val="clear"/>
        <w:spacing w:after="0" w:before="0" w:line="220"/>
      </w:pPr>
      <w:r>
        <w:rPr>
          <w:rFonts w:ascii="Consolas" w:cs="Consolas" w:eastAsia="Consolas" w:hAnsi="Consolas"/>
          <w:color w:val="1B2118"/>
          <w:sz w:val="14"/>
          <w:szCs w:val="14"/>
        </w:rPr>
        <w:t xml:space="preserve"> │ statico, nessun server)  │        │    trigger di audit, funzioni           │</w:t>
      </w:r>
    </w:p>
    <w:p>
      <w:pPr>
        <w:shd w:fill="F6F4EE" w:color="auto" w:val="clear"/>
        <w:spacing w:after="0" w:before="0" w:line="220"/>
      </w:pPr>
      <w:r>
        <w:rPr>
          <w:rFonts w:ascii="Consolas" w:cs="Consolas" w:eastAsia="Consolas" w:hAnsi="Consolas"/>
          <w:color w:val="1B2118"/>
          <w:sz w:val="14"/>
          <w:szCs w:val="14"/>
        </w:rPr>
        <w:t xml:space="preserve"> └──────────▲───────────────┘        │  • Auth: email+password, MFA (TOTP)      │</w:t>
      </w:r>
    </w:p>
    <w:p>
      <w:pPr>
        <w:shd w:fill="F6F4EE" w:color="auto" w:val="clear"/>
        <w:spacing w:after="0" w:before="0" w:line="220"/>
      </w:pPr>
      <w:r>
        <w:rPr>
          <w:rFonts w:ascii="Consolas" w:cs="Consolas" w:eastAsia="Consolas" w:hAnsi="Consolas"/>
          <w:color w:val="1B2118"/>
          <w:sz w:val="14"/>
          <w:szCs w:val="14"/>
        </w:rPr>
        <w:t xml:space="preserve">            │ deploy automatico      │  • Storage: bucket privato "documenti"   │</w:t>
      </w:r>
    </w:p>
    <w:p>
      <w:pPr>
        <w:shd w:fill="F6F4EE" w:color="auto" w:val="clear"/>
        <w:spacing w:after="0" w:before="0" w:line="220"/>
      </w:pPr>
      <w:r>
        <w:rPr>
          <w:rFonts w:ascii="Consolas" w:cs="Consolas" w:eastAsia="Consolas" w:hAnsi="Consolas"/>
          <w:color w:val="1B2118"/>
          <w:sz w:val="14"/>
          <w:szCs w:val="14"/>
        </w:rPr>
        <w:t xml:space="preserve"> ┌──────────┴───────────────┐        │  • Edge Functions: crea-utente,          │</w:t>
      </w:r>
    </w:p>
    <w:p>
      <w:pPr>
        <w:shd w:fill="F6F4EE" w:color="auto" w:val="clear"/>
        <w:spacing w:after="0" w:before="0" w:line="220"/>
      </w:pPr>
      <w:r>
        <w:rPr>
          <w:rFonts w:ascii="Consolas" w:cs="Consolas" w:eastAsia="Consolas" w:hAnsi="Consolas"/>
          <w:color w:val="1B2118"/>
          <w:sz w:val="14"/>
          <w:szCs w:val="14"/>
        </w:rPr>
        <w:t xml:space="preserve"> │ GITHUB                   │        │    invia-email-notifica                  │</w:t>
      </w:r>
    </w:p>
    <w:p>
      <w:pPr>
        <w:shd w:fill="F6F4EE" w:color="auto" w:val="clear"/>
        <w:spacing w:after="0" w:before="0" w:line="220"/>
      </w:pPr>
      <w:r>
        <w:rPr>
          <w:rFonts w:ascii="Consolas" w:cs="Consolas" w:eastAsia="Consolas" w:hAnsi="Consolas"/>
          <w:color w:val="1B2118"/>
          <w:sz w:val="14"/>
          <w:szCs w:val="14"/>
        </w:rPr>
        <w:t xml:space="preserve"> │ lucamorettioperate/      │        │  • pg_cron: scadenze (giornaliero),      │</w:t>
      </w:r>
    </w:p>
    <w:p>
      <w:pPr>
        <w:shd w:fill="F6F4EE" w:color="auto" w:val="clear"/>
        <w:spacing w:after="0" w:before="0" w:line="220"/>
      </w:pPr>
      <w:r>
        <w:rPr>
          <w:rFonts w:ascii="Consolas" w:cs="Consolas" w:eastAsia="Consolas" w:hAnsi="Consolas"/>
          <w:color w:val="1B2118"/>
          <w:sz w:val="14"/>
          <w:szCs w:val="14"/>
        </w:rPr>
        <w:t xml:space="preserve"> │ portale-cwp (branch main)│        │    nuovi tentativi email (15 min)        │</w:t>
      </w:r>
    </w:p>
    <w:p>
      <w:pPr>
        <w:shd w:fill="F6F4EE" w:color="auto" w:val="clear"/>
        <w:spacing w:after="0" w:before="0" w:line="220"/>
      </w:pPr>
      <w:r>
        <w:rPr>
          <w:rFonts w:ascii="Consolas" w:cs="Consolas" w:eastAsia="Consolas" w:hAnsi="Consolas"/>
          <w:color w:val="1B2118"/>
          <w:sz w:val="14"/>
          <w:szCs w:val="14"/>
        </w:rPr>
        <w:t xml:space="preserve"> └──────────────────────────┘        │  • pg_net: chiamata alla funzione email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spacing w:after="140" w:line="300"/>
      </w:pPr>
      <w:r>
        <w:rPr>
          <w:rFonts w:ascii="Arial" w:cs="Arial" w:eastAsia="Arial" w:hAnsi="Arial"/>
          <w:b/>
          <w:bCs/>
          <w:color w:val="1B2118"/>
          <w:sz w:val="21"/>
          <w:szCs w:val="21"/>
        </w:rPr>
        <w:t xml:space="preserve">Principi di sicurezza</w:t>
      </w:r>
    </w:p>
    <w:p>
      <w:pPr>
        <w:pStyle w:val="ListParagraph"/>
        <w:numPr>
          <w:ilvl w:val="0"/>
          <w:numId w:val="3"/>
        </w:numPr>
        <w:spacing w:after="70" w:line="290"/>
      </w:pPr>
      <w:r>
        <w:rPr>
          <w:rFonts w:ascii="Arial" w:cs="Arial" w:eastAsia="Arial" w:hAnsi="Arial"/>
          <w:color w:val="1B2118"/>
          <w:sz w:val="21"/>
          <w:szCs w:val="21"/>
        </w:rPr>
        <w:t xml:space="preserve">Le regole di accesso stanno </w:t>
      </w:r>
      <w:r>
        <w:rPr>
          <w:rFonts w:ascii="Arial" w:cs="Arial" w:eastAsia="Arial" w:hAnsi="Arial"/>
          <w:b/>
          <w:bCs/>
          <w:color w:val="1B2118"/>
          <w:sz w:val="21"/>
          <w:szCs w:val="21"/>
        </w:rPr>
        <w:t xml:space="preserve">nel database</w:t>
      </w:r>
      <w:r>
        <w:rPr>
          <w:rFonts w:ascii="Arial" w:cs="Arial" w:eastAsia="Arial" w:hAnsi="Arial"/>
          <w:color w:val="1B2118"/>
          <w:sz w:val="21"/>
          <w:szCs w:val="21"/>
        </w:rPr>
        <w:t xml:space="preserve"> (Row Level Security): il browser non può vedere né modificare ciò che il ruolo non consente, qualunque cosa faccia.</w:t>
      </w:r>
    </w:p>
    <w:p>
      <w:pPr>
        <w:pStyle w:val="ListParagraph"/>
        <w:numPr>
          <w:ilvl w:val="0"/>
          <w:numId w:val="3"/>
        </w:numPr>
        <w:spacing w:after="70" w:line="290"/>
      </w:pPr>
      <w:r>
        <w:rPr>
          <w:rFonts w:ascii="Arial" w:cs="Arial" w:eastAsia="Arial" w:hAnsi="Arial"/>
          <w:color w:val="1B2118"/>
          <w:sz w:val="21"/>
          <w:szCs w:val="21"/>
        </w:rPr>
        <w:t xml:space="preserve">Le azioni sensibili passano da </w:t>
      </w:r>
      <w:r>
        <w:rPr>
          <w:rFonts w:ascii="Arial" w:cs="Arial" w:eastAsia="Arial" w:hAnsi="Arial"/>
          <w:b/>
          <w:bCs/>
          <w:color w:val="1B2118"/>
          <w:sz w:val="21"/>
          <w:szCs w:val="21"/>
        </w:rPr>
        <w:t xml:space="preserve">funzioni del database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è scritto da trigger del database, è immutabile e non può essere scritto dal browser.</w:t>
      </w:r>
    </w:p>
    <w:p>
      <w:pPr>
        <w:pStyle w:val="ListParagraph"/>
        <w:numPr>
          <w:ilvl w:val="0"/>
          <w:numId w:val="3"/>
        </w:numPr>
        <w:spacing w:after="70" w:line="290"/>
      </w:pPr>
      <w:r>
        <w:rPr>
          <w:rFonts w:ascii="Arial" w:cs="Arial" w:eastAsia="Arial" w:hAnsi="Arial"/>
          <w:color w:val="1B2118"/>
          <w:sz w:val="21"/>
          <w:szCs w:val="21"/>
        </w:rPr>
        <w:t xml:space="preserve">Operatori e Amministratori hanno i poteri del back-office solo con sessione a due fattori (MFA), quando l'interruttore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 per decisione di Luca).</w:t>
      </w:r>
    </w:p>
    <w:p>
      <w:pPr>
        <w:pStyle w:val="ListParagraph"/>
        <w:numPr>
          <w:ilvl w:val="0"/>
          <w:numId w:val="3"/>
        </w:numPr>
        <w:spacing w:after="70" w:line="290"/>
      </w:pPr>
      <w:r>
        <w:rPr>
          <w:rFonts w:ascii="Arial" w:cs="Arial" w:eastAsia="Arial" w:hAnsi="Arial"/>
          <w:color w:val="1B2118"/>
          <w:sz w:val="21"/>
          <w:szCs w:val="21"/>
        </w:rPr>
        <w:t xml:space="preserve">Il repository è pubblico ma non contiene dati né chiavi segrete.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2012"/>
        <w:gridCol w:w="4616"/>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20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6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20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w:t>
            </w:r>
          </w:p>
        </w:tc>
        <w:tc>
          <w:tcPr>
            <w:tcW w:type="dxa" w:w="46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20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46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organizzazioni</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17/10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della consultazione: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96"/>
        <w:gridCol w:w="1707"/>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elenco, documento e osservazioni, invio con conferma dell'email</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Enti di Validazione, Modelli di documento</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impostazioni/{EntiValidazione,ModelliDocumento}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e del lettore CSV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3"/>
        <w:gridCol w:w="1510"/>
        <w:gridCol w:w="5685"/>
      </w:tblGrid>
      <w:tr>
        <w:trPr>
          <w:tblHeader/>
        </w:trPr>
        <w:tc>
          <w:tcPr>
            <w:tcW w:type="dxa" w:w="24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 note di fase interne o condivise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osservazioni con email confermata e allegato, moderazione, firma «Partecipante» o nome a scelta dell'autore, risposte del Comune, errata corrige con ripartenza facoltativa dei 30 giorni</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 visibili al Comune in sola lettura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sei passi di acquisizione; calcoli confermati immutabili; tracciato dati standard pubblicato; mancano import diretto del tracciato, aggregazione letture, rapporto PDF, registro crediti</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Enti di Validazione, modelli di documento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4"/>
        <w:gridCol w:w="3543"/>
        <w:gridCol w:w="3261"/>
      </w:tblGrid>
      <w:tr>
        <w:trPr>
          <w:tblHeader/>
        </w:trPr>
        <w:tc>
          <w:tcPr>
            <w:tcW w:type="dxa" w:w="28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5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2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5nur9dophjum_c5rxxgy5">
              <w:r>
                <w:rPr>
                  <w:rFonts w:ascii="Arial" w:cs="Arial" w:eastAsia="Arial" w:hAnsi="Arial"/>
                  <w:color w:val="2F5D3A"/>
                  <w:sz w:val="18"/>
                  <w:szCs w:val="18"/>
                  <w:u w:val="single"/>
                </w:rPr>
                <w:t xml:space="preserve">https://claude.ai/artifact/L9duSXhNfKejbz6RKXDQQv</w:t>
              </w:r>
            </w:hyperlink>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7njy4wpoyi5wxhrar9kjq">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del portale per i Clienti, passo per passo</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g09ud6tebd5eece4sbt1-">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utenti, impostazioni, calcolo crediti, manutenzione</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i1p7hqsg2rbikmcwhhthx">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color w:val="1B2118"/>
          <w:sz w:val="21"/>
          <w:szCs w:val="21"/>
        </w:rPr>
        <w:t xml:space="preserve">1.</w:t>
      </w:r>
      <w:r>
        <w:rPr>
          <w:rFonts w:ascii="Arial" w:cs="Arial" w:eastAsia="Arial" w:hAnsi="Arial"/>
          <w:color w:val="1B2118"/>
          <w:sz w:val="21"/>
          <w:szCs w:val="21"/>
        </w:rPr>
        <w:t xml:space="preserve"> Import diretto del tracciato dati (Excel/ZIP) nel calcolo.</w:t>
      </w:r>
    </w:p>
    <w:p>
      <w:pPr>
        <w:pStyle w:val="ListParagraph"/>
        <w:numPr>
          <w:ilvl w:val="0"/>
          <w:numId w:val="3"/>
        </w:numPr>
        <w:spacing w:after="70" w:line="290"/>
      </w:pPr>
      <w:r>
        <w:rPr>
          <w:rFonts w:ascii="Arial" w:cs="Arial" w:eastAsia="Arial" w:hAnsi="Arial"/>
          <w:b/>
          <w:bCs/>
          <w:color w:val="1B2118"/>
          <w:sz w:val="21"/>
          <w:szCs w:val="21"/>
        </w:rPr>
        <w:t xml:space="preserve">2.</w:t>
      </w:r>
      <w:r>
        <w:rPr>
          <w:rFonts w:ascii="Arial" w:cs="Arial" w:eastAsia="Arial" w:hAnsi="Arial"/>
          <w:color w:val="1B2118"/>
          <w:sz w:val="21"/>
          <w:szCs w:val="21"/>
        </w:rPr>
        <w:t xml:space="preserve"> Aggregazione automatica delle singole letture (foglio 6_Letture).</w:t>
      </w:r>
    </w:p>
    <w:p>
      <w:pPr>
        <w:pStyle w:val="ListParagraph"/>
        <w:numPr>
          <w:ilvl w:val="0"/>
          <w:numId w:val="3"/>
        </w:numPr>
        <w:spacing w:after="70" w:line="290"/>
      </w:pPr>
      <w:r>
        <w:rPr>
          <w:rFonts w:ascii="Arial" w:cs="Arial" w:eastAsia="Arial" w:hAnsi="Arial"/>
          <w:b/>
          <w:bCs/>
          <w:color w:val="1B2118"/>
          <w:sz w:val="21"/>
          <w:szCs w:val="21"/>
        </w:rPr>
        <w:t xml:space="preserve">3.</w:t>
      </w:r>
      <w:r>
        <w:rPr>
          <w:rFonts w:ascii="Arial" w:cs="Arial" w:eastAsia="Arial" w:hAnsi="Arial"/>
          <w:color w:val="1B2118"/>
          <w:sz w:val="21"/>
          <w:szCs w:val="21"/>
        </w:rPr>
        <w:t xml:space="preserve"> Controllo privacy all'import (colonne con dati personali).</w:t>
      </w:r>
    </w:p>
    <w:p>
      <w:pPr>
        <w:pStyle w:val="ListParagraph"/>
        <w:numPr>
          <w:ilvl w:val="0"/>
          <w:numId w:val="3"/>
        </w:numPr>
        <w:spacing w:after="70" w:line="290"/>
      </w:pPr>
      <w:r>
        <w:rPr>
          <w:rFonts w:ascii="Arial" w:cs="Arial" w:eastAsia="Arial" w:hAnsi="Arial"/>
          <w:b/>
          <w:bCs/>
          <w:color w:val="1B2118"/>
          <w:sz w:val="21"/>
          <w:szCs w:val="21"/>
        </w:rPr>
        <w:t xml:space="preserve">4.</w:t>
      </w:r>
      <w:r>
        <w:rPr>
          <w:rFonts w:ascii="Arial" w:cs="Arial" w:eastAsia="Arial" w:hAnsi="Arial"/>
          <w:color w:val="1B2118"/>
          <w:sz w:val="21"/>
          <w:szCs w:val="21"/>
        </w:rPr>
        <w:t xml:space="preserve"> Scelta del file direttamente dalla pratica del Comune.</w:t>
      </w:r>
    </w:p>
    <w:p>
      <w:pPr>
        <w:pStyle w:val="ListParagraph"/>
        <w:numPr>
          <w:ilvl w:val="0"/>
          <w:numId w:val="3"/>
        </w:numPr>
        <w:spacing w:after="70" w:line="290"/>
      </w:pPr>
      <w:r>
        <w:rPr>
          <w:rFonts w:ascii="Arial" w:cs="Arial" w:eastAsia="Arial" w:hAnsi="Arial"/>
          <w:b/>
          <w:bCs/>
          <w:color w:val="1B2118"/>
          <w:sz w:val="21"/>
          <w:szCs w:val="21"/>
        </w:rPr>
        <w:t xml:space="preserve">5.</w:t>
      </w:r>
      <w:r>
        <w:rPr>
          <w:rFonts w:ascii="Arial" w:cs="Arial" w:eastAsia="Arial" w:hAnsi="Arial"/>
          <w:color w:val="1B2118"/>
          <w:sz w:val="21"/>
          <w:szCs w:val="21"/>
        </w:rPr>
        <w:t xml:space="preserve"> Controlli di coerenza (classi, totali, valori anomali).</w:t>
      </w:r>
    </w:p>
    <w:p>
      <w:pPr>
        <w:pStyle w:val="ListParagraph"/>
        <w:numPr>
          <w:ilvl w:val="0"/>
          <w:numId w:val="3"/>
        </w:numPr>
        <w:spacing w:after="70" w:line="290"/>
      </w:pPr>
      <w:r>
        <w:rPr>
          <w:rFonts w:ascii="Arial" w:cs="Arial" w:eastAsia="Arial" w:hAnsi="Arial"/>
          <w:b/>
          <w:bCs/>
          <w:color w:val="1B2118"/>
          <w:sz w:val="21"/>
          <w:szCs w:val="21"/>
        </w:rPr>
        <w:t xml:space="preserve">6.</w:t>
      </w:r>
      <w:r>
        <w:rPr>
          <w:rFonts w:ascii="Arial" w:cs="Arial" w:eastAsia="Arial" w:hAnsi="Arial"/>
          <w:color w:val="1B2118"/>
          <w:sz w:val="21"/>
          <w:szCs w:val="21"/>
        </w:rPr>
        <w:t xml:space="preserve"> Rapporto di calcolo in PDF.</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(forma da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suoi file Word/PDF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color w:val="1B2118"/>
          <w:sz w:val="21"/>
          <w:szCs w:val="21"/>
        </w:rPr>
        <w:t xml:space="preserve">31.</w:t>
      </w:r>
      <w:r>
        <w:rPr>
          <w:rFonts w:ascii="Arial" w:cs="Arial" w:eastAsia="Arial" w:hAnsi="Arial"/>
          <w:color w:val="1B2118"/>
          <w:sz w:val="21"/>
          <w:szCs w:val="21"/>
        </w:rPr>
        <w:t xml:space="preserve"> Codice sorgente commentato per sviluppatori umani: ogni file (portale, script SQL, Edge Functions, strumenti) deve avere in testa lo scopo e il collegamento al capitolo del registro, e commenti in italiano su funzioni, regole di sicurezza e passaggi non ovvi. Vale anche per tutto il codice nuovo. Da completare con una revisione file per file.</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1.5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1.5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5nur9dophjum_c5rxxgy5" Type="http://schemas.openxmlformats.org/officeDocument/2006/relationships/hyperlink" Target="https://claude.ai/artifact/L9duSXhNfKejbz6RKXDQQv" TargetMode="External"/><Relationship Id="rId7njy4wpoyi5wxhrar9kjq" Type="http://schemas.openxmlformats.org/officeDocument/2006/relationships/hyperlink" Target="https://claude.ai/code/artifact/e2dd2bd5-8042-4744-8d5a-54d34dc50153" TargetMode="External"/><Relationship Id="rIdg09ud6tebd5eece4sbt1-" Type="http://schemas.openxmlformats.org/officeDocument/2006/relationships/hyperlink" Target="https://claude.ai/code/artifact/cc36ab09-61e6-4dad-aaf0-4082ea0a46da" TargetMode="External"/><Relationship Id="rIdi1p7hqsg2rbikmcwhhthx"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1.5)</dc:title>
  <dc:creator>Fondazione Operate</dc:creator>
  <cp:lastModifiedBy>Un-named</cp:lastModifiedBy>
  <cp:revision>1</cp:revision>
  <dcterms:created xsi:type="dcterms:W3CDTF">2026-10-18T12:46:38.453Z</dcterms:created>
  <dcterms:modified xsi:type="dcterms:W3CDTF">2026-10-18T12:46:38.453Z</dcterms:modified>
</cp:coreProperties>
</file>

<file path=docProps/custom.xml><?xml version="1.0" encoding="utf-8"?>
<Properties xmlns="http://schemas.openxmlformats.org/officeDocument/2006/custom-properties" xmlns:vt="http://schemas.openxmlformats.org/officeDocument/2006/docPropsVTypes"/>
</file>