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22/10/2026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dal telefono: menu a pannello, schede in Dashboard e Audit, elenco e dettaglio delle pratiche.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N01-N06: costi una tantum in 10 rate, feedback pubblico e fase 3, ente prima della fase 5, riquadro «Fase aperta senza scadenza», avviso sui codici, frazioni del fattore dell'indifferenziato.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5.2 del 22/10/2026.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12</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15</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16</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17</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19</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20</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22</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23</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24</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27</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28</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31</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34</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41</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45</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47</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48</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49</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50</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Assistente virtuale</w:t>
        </w:r>
        <w:r>
          <w:rPr>
            <w:rFonts w:ascii="Arial" w:cs="Arial" w:eastAsia="Arial" w:hAnsi="Arial"/>
            <w:color w:val="1B2118"/>
            <w:sz w:val="22"/>
            <w:szCs w:val="22"/>
          </w:rPr>
          <w:tab/>
          <w:t xml:space="preserve">53</w:t>
        </w:r>
      </w:hyperlink>
    </w:p>
    <w:p>
      <w:pPr>
        <w:tabs>
          <w:tab w:val="right" w:pos="9638" w:leader="dot"/>
        </w:tabs>
        <w:spacing w:after="130"/>
      </w:pPr>
      <w:hyperlink w:history="1" w:anchor="cap27">
        <w:r>
          <w:rPr>
            <w:rFonts w:ascii="Arial" w:cs="Arial" w:eastAsia="Arial" w:hAnsi="Arial"/>
            <w:color w:val="1B2118"/>
            <w:sz w:val="22"/>
            <w:szCs w:val="22"/>
          </w:rPr>
          <w:t xml:space="preserve">27.  Sicurezza</w:t>
        </w:r>
        <w:r>
          <w:rPr>
            <w:rFonts w:ascii="Arial" w:cs="Arial" w:eastAsia="Arial" w:hAnsi="Arial"/>
            <w:color w:val="1B2118"/>
            <w:sz w:val="22"/>
            <w:szCs w:val="22"/>
          </w:rPr>
          <w:tab/>
          <w:t xml:space="preserve">55</w:t>
        </w:r>
      </w:hyperlink>
    </w:p>
    <w:p>
      <w:pPr>
        <w:tabs>
          <w:tab w:val="right" w:pos="9638" w:leader="dot"/>
        </w:tabs>
        <w:spacing w:after="130"/>
      </w:pPr>
      <w:hyperlink w:history="1" w:anchor="cap28">
        <w:r>
          <w:rPr>
            <w:rFonts w:ascii="Arial" w:cs="Arial" w:eastAsia="Arial" w:hAnsi="Arial"/>
            <w:color w:val="1B2118"/>
            <w:sz w:val="22"/>
            <w:szCs w:val="22"/>
          </w:rPr>
          <w:t xml:space="preserve">28.  Manutenzione ed emergenze</w:t>
        </w:r>
        <w:r>
          <w:rPr>
            <w:rFonts w:ascii="Arial" w:cs="Arial" w:eastAsia="Arial" w:hAnsi="Arial"/>
            <w:color w:val="1B2118"/>
            <w:sz w:val="22"/>
            <w:szCs w:val="22"/>
          </w:rPr>
          <w:tab/>
          <w:t xml:space="preserve">56</w:t>
        </w:r>
      </w:hyperlink>
    </w:p>
    <w:p>
      <w:pPr>
        <w:tabs>
          <w:tab w:val="right" w:pos="9638" w:leader="dot"/>
        </w:tabs>
        <w:spacing w:after="130"/>
      </w:pPr>
      <w:hyperlink w:history="1" w:anchor="cap29">
        <w:r>
          <w:rPr>
            <w:rFonts w:ascii="Arial" w:cs="Arial" w:eastAsia="Arial" w:hAnsi="Arial"/>
            <w:color w:val="1B2118"/>
            <w:sz w:val="22"/>
            <w:szCs w:val="22"/>
          </w:rPr>
          <w:t xml:space="preserve">29.  Funzioni in arrivo</w:t>
        </w:r>
        <w:r>
          <w:rPr>
            <w:rFonts w:ascii="Arial" w:cs="Arial" w:eastAsia="Arial" w:hAnsi="Arial"/>
            <w:color w:val="1B2118"/>
            <w:sz w:val="22"/>
            <w:szCs w:val="22"/>
          </w:rPr>
          <w:tab/>
          <w:t xml:space="preserve">57</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j00cxwd139jmglwpb2ntm">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b/>
          <w:bCs/>
          <w:color w:val="1B2118"/>
          <w:sz w:val="21"/>
          <w:szCs w:val="21"/>
        </w:rPr>
        <w:t xml:space="preserve">Dal telefono (dal 22/10/2026).</w:t>
      </w:r>
      <w:r>
        <w:rPr>
          <w:rFonts w:ascii="Arial" w:cs="Arial" w:eastAsia="Arial" w:hAnsi="Arial"/>
          <w:color w:val="1B2118"/>
          <w:sz w:val="21"/>
          <w:szCs w:val="21"/>
        </w:rPr>
        <w:t xml:space="preserve"> Su uno schermo fino a 760 px l'intestazione mostra solo i loghi, la campanella e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che apre tutte le voci, il profilo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il pallino verde delle Notizie CO2 compare sul pulsante Menu e accanto alla voce. La tabella della Dashboard e quella dell'Audit diventano schede, una per pratica o per evento, con l'etichetta di ogni colonna; l'ordine si sceglie con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sopra le schede. In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si vede prima l'elenco: toccando una pratica si apre il dettaglio, con </w:t>
      </w:r>
      <w:r>
        <w:rPr>
          <w:rFonts w:ascii="Arial" w:cs="Arial" w:eastAsia="Arial" w:hAnsi="Arial"/>
          <w:b/>
          <w:bCs/>
          <w:color w:val="1B2118"/>
          <w:sz w:val="21"/>
          <w:szCs w:val="21"/>
        </w:rPr>
        <w:t xml:space="preserve">← Tutte le pratiche</w:t>
      </w:r>
      <w:r>
        <w:rPr>
          <w:rFonts w:ascii="Arial" w:cs="Arial" w:eastAsia="Arial" w:hAnsi="Arial"/>
          <w:color w:val="1B2118"/>
          <w:sz w:val="21"/>
          <w:szCs w:val="21"/>
        </w:rPr>
        <w:t xml:space="preserve"> in alto. Le tabelle più larghe (simulatore, calcolo) scorrono di lato dentro il loro riquadro. I campi di testo sono a 16 px, così l'iPhone non ingrandisce la pagina quando li si tocca.</w:t>
      </w:r>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7"/>
        <w:gridCol w:w="6961"/>
      </w:tblGrid>
      <w:tr>
        <w:trPr>
          <w:tblHeader/>
        </w:trPr>
        <w:tc>
          <w:tcPr>
            <w:tcW w:type="dxa" w:w="26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9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scadenza</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una data di scadenza (numero in arancione): sono pratiche </w:t>
            </w:r>
            <w:r>
              <w:rPr>
                <w:rFonts w:ascii="Arial" w:cs="Arial" w:eastAsia="Arial" w:hAnsi="Arial"/>
                <w:b/>
                <w:bCs/>
                <w:color w:val="1B2118"/>
                <w:sz w:val="18"/>
                <w:szCs w:val="18"/>
              </w:rPr>
              <w:t xml:space="preserve">senza scadenza nota</w:t>
            </w:r>
            <w:r>
              <w:rPr>
                <w:rFonts w:ascii="Arial" w:cs="Arial" w:eastAsia="Arial" w:hAnsi="Arial"/>
                <w:color w:val="1B2118"/>
                <w:sz w:val="18"/>
                <w:szCs w:val="18"/>
              </w:rPr>
              <w:t xml:space="preserve">, non pratiche in regola. Lo zero di «In scadenza» e «Scadute» vale solo per le pratiche con una data. Nella colonna Scadenza compare «nessuna scadenza nota»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Un codice scritto a mano si salva così com'è; se non segue il formato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(es. minuscole o tre cifre) compare un avviso arancione. La regola sul formato dei codici scritti a mano è in attesa della Fondazione.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Ente prima della fase 5.</w:t>
      </w:r>
      <w:r>
        <w:rPr>
          <w:rFonts w:ascii="Arial" w:cs="Arial" w:eastAsia="Arial" w:hAnsi="Arial"/>
          <w:color w:val="1B2118"/>
          <w:sz w:val="21"/>
          <w:szCs w:val="21"/>
        </w:rPr>
        <w:t xml:space="preserve"> La fase 5 si apre solo se la pratica ha un ente di validazione e verifica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assegnato (Guida 6.2.3: la validazione la svolge l'ente incaricato). Senza ente, al posto di </w:t>
      </w:r>
      <w:r>
        <w:rPr>
          <w:rFonts w:ascii="Arial" w:cs="Arial" w:eastAsia="Arial" w:hAnsi="Arial"/>
          <w:b/>
          <w:bCs/>
          <w:color w:val="1B2118"/>
          <w:sz w:val="21"/>
          <w:szCs w:val="21"/>
        </w:rPr>
        <w:t xml:space="preserve">Apri fase</w:t>
      </w:r>
      <w:r>
        <w:rPr>
          <w:rFonts w:ascii="Arial" w:cs="Arial" w:eastAsia="Arial" w:hAnsi="Arial"/>
          <w:color w:val="1B2118"/>
          <w:sz w:val="21"/>
          <w:szCs w:val="21"/>
        </w:rPr>
        <w:t xml:space="preserve"> compare «Per aprire la fase 5 assegna prima l'ente di validazione e verifica». Con la fase 5 aperta l'ente si può sostituire ma non togliere.</w:t>
      </w:r>
    </w:p>
    <w:p>
      <w:pPr>
        <w:spacing w:after="140" w:line="300"/>
      </w:pPr>
      <w:r>
        <w:rPr>
          <w:rFonts w:ascii="Arial" w:cs="Arial" w:eastAsia="Arial" w:hAnsi="Arial"/>
          <w:b/>
          <w:bCs/>
          <w:color w:val="1B2118"/>
          <w:sz w:val="21"/>
          <w:szCs w:val="21"/>
        </w:rPr>
        <w:t xml:space="preserve">Fase 3 e feedback pubblico.</w:t>
      </w:r>
      <w:r>
        <w:rPr>
          <w:rFonts w:ascii="Arial" w:cs="Arial" w:eastAsia="Arial" w:hAnsi="Arial"/>
          <w:color w:val="1B2118"/>
          <w:sz w:val="21"/>
          <w:szCs w:val="21"/>
        </w:rPr>
        <w:t xml:space="preserve"> La fase 3 è il feedback pubblico: si apre da sola quando aprite il feedback e la sua scadenza è l'ultimo giorno del feedback. Si chiude solo dal giorno dopo il termine, insieme al feedback (capitolo «Feedback pubblico»).</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Il periodo comprende l'ultimo giorno indicato (ora italiana). Fino a quel giorno il riquadro mostra «Il feedback resta aperto fino al … compreso: si chiude dal giorno successivo» e non c'è un pulsante di chiusura. Dal giorno dopo il portale non accetta più osservazioni e lo stato si chiude con </w:t>
      </w:r>
      <w:r>
        <w:rPr>
          <w:rFonts w:ascii="Arial" w:cs="Arial" w:eastAsia="Arial" w:hAnsi="Arial"/>
          <w:b/>
          <w:bCs/>
          <w:color w:val="1B2118"/>
          <w:sz w:val="21"/>
          <w:szCs w:val="21"/>
        </w:rPr>
        <w:t xml:space="preserve">Chiudi il feedback pubblico e la fase 3</w:t>
      </w:r>
      <w:r>
        <w:rPr>
          <w:rFonts w:ascii="Arial" w:cs="Arial" w:eastAsia="Arial" w:hAnsi="Arial"/>
          <w:color w:val="1B2118"/>
          <w:sz w:val="21"/>
          <w:szCs w:val="21"/>
        </w:rPr>
        <w:t xml:space="preserve">: feedback e fase 3 si chiudono insieme. Anche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sulla fase 3 è rifiutato prima del termine e, dopo il termine, chiude il feedback.</w:t>
      </w:r>
    </w:p>
    <w:p>
      <w:pPr>
        <w:spacing w:after="140" w:line="300"/>
      </w:pPr>
      <w:r>
        <w:rPr>
          <w:rFonts w:ascii="Arial" w:cs="Arial" w:eastAsia="Arial" w:hAnsi="Arial"/>
          <w:b/>
          <w:bCs/>
          <w:color w:val="1B2118"/>
          <w:sz w:val="21"/>
          <w:szCs w:val="21"/>
        </w:rPr>
        <w:t xml:space="preserve">Chiusura anticipata.</w:t>
      </w:r>
      <w:r>
        <w:rPr>
          <w:rFonts w:ascii="Arial" w:cs="Arial" w:eastAsia="Arial" w:hAnsi="Arial"/>
          <w:color w:val="1B2118"/>
          <w:sz w:val="21"/>
          <w:szCs w:val="21"/>
        </w:rPr>
        <w:t xml:space="preserve"> È ammessa solo se la pratica è </w:t>
      </w:r>
      <w:r>
        <w:rPr>
          <w:rFonts w:ascii="Arial" w:cs="Arial" w:eastAsia="Arial" w:hAnsi="Arial"/>
          <w:b/>
          <w:bCs/>
          <w:color w:val="1B2118"/>
          <w:sz w:val="21"/>
          <w:szCs w:val="21"/>
        </w:rPr>
        <w:t xml:space="preserve">annullata, ritirata o chiusa</w:t>
      </w:r>
      <w:r>
        <w:rPr>
          <w:rFonts w:ascii="Arial" w:cs="Arial" w:eastAsia="Arial" w:hAnsi="Arial"/>
          <w:color w:val="1B2118"/>
          <w:sz w:val="21"/>
          <w:szCs w:val="21"/>
        </w:rPr>
        <w:t xml:space="preserve">. Compare </w:t>
      </w:r>
      <w:r>
        <w:rPr>
          <w:rFonts w:ascii="Arial" w:cs="Arial" w:eastAsia="Arial" w:hAnsi="Arial"/>
          <w:b/>
          <w:bCs/>
          <w:color w:val="1B2118"/>
          <w:sz w:val="21"/>
          <w:szCs w:val="21"/>
        </w:rPr>
        <w:t xml:space="preserve">Chiudi ora: pratica …</w:t>
      </w:r>
      <w:r>
        <w:rPr>
          <w:rFonts w:ascii="Arial" w:cs="Arial" w:eastAsia="Arial" w:hAnsi="Arial"/>
          <w:color w:val="1B2118"/>
          <w:sz w:val="21"/>
          <w:szCs w:val="21"/>
        </w:rPr>
        <w:t xml:space="preserve">, con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obbligatoria; la fase 3 resta com'è e la motivazione finisce nell'audit. Con la pratica attiva la chiusura prima del termine non è possibile (Guida 6.2.2). Con la fase 3 già completata non si apre un nuovo feedback.</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con tutte le frazioni a recupero che hanno quantità e fattore. Nei risultati e nel rapporto PDF compaiono quota, tonnellate e fattore di ogni frazione usata, le tipologie oltre le cinque nominate al capitolo 5 della Metodologia (organico, carta e cartone, vetro, plastica, tessili), con la nota «paniere in attesa di conferma della Fondazione», e quelle escluse perché senza fattore.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w:t>
      </w:r>
      <w:r>
        <w:rPr>
          <w:rFonts w:ascii="Arial" w:cs="Arial" w:eastAsia="Arial" w:hAnsi="Arial"/>
          <w:b/>
          <w:bCs/>
          <w:color w:val="1B2118"/>
          <w:sz w:val="21"/>
          <w:szCs w:val="21"/>
        </w:rPr>
        <w:t xml:space="preserve">una tantum</w:t>
      </w:r>
      <w:r>
        <w:rPr>
          <w:rFonts w:ascii="Arial" w:cs="Arial" w:eastAsia="Arial" w:hAnsi="Arial"/>
          <w:color w:val="1B2118"/>
          <w:sz w:val="21"/>
          <w:szCs w:val="21"/>
        </w:rPr>
        <w:t xml:space="preserve"> (Progetto, Registrazione Progetto, Registrazione Crediti Progetto) sono un corrispettivo unico e forfettario pagato in </w:t>
      </w:r>
      <w:r>
        <w:rPr>
          <w:rFonts w:ascii="Arial" w:cs="Arial" w:eastAsia="Arial" w:hAnsi="Arial"/>
          <w:b/>
          <w:bCs/>
          <w:color w:val="1B2118"/>
          <w:sz w:val="21"/>
          <w:szCs w:val="21"/>
        </w:rPr>
        <w:t xml:space="preserve">10 rate annuali</w:t>
      </w:r>
      <w:r>
        <w:rPr>
          <w:rFonts w:ascii="Arial" w:cs="Arial" w:eastAsia="Arial" w:hAnsi="Arial"/>
          <w:color w:val="1B2118"/>
          <w:sz w:val="21"/>
          <w:szCs w:val="21"/>
        </w:rPr>
        <w:t xml:space="preserve"> uguali (contratti di consulenza e di partecipazione): l'importo in tabella è la rata annua e la nota sotto la tabella lo spiega, anche nel PDF e nell'Excel. Una tabella mostra le sei voci con € per abitante, € all'anno e il totale annuo. Le tabelle non comprendono la validazione dell'ente. Per progetti di durata diversa da 10 anni la regola non è ancora stabilita: compaiono il riquadro rosso </w:t>
      </w:r>
      <w:r>
        <w:rPr>
          <w:rFonts w:ascii="Arial" w:cs="Arial" w:eastAsia="Arial" w:hAnsi="Arial"/>
          <w:b/>
          <w:bCs/>
          <w:color w:val="1B2118"/>
          <w:sz w:val="21"/>
          <w:szCs w:val="21"/>
        </w:rPr>
        <w:t xml:space="preserve">Stima, non listino approvato</w:t>
      </w:r>
      <w:r>
        <w:rPr>
          <w:rFonts w:ascii="Arial" w:cs="Arial" w:eastAsia="Arial" w:hAnsi="Arial"/>
          <w:color w:val="1B2118"/>
          <w:sz w:val="21"/>
          <w:szCs w:val="21"/>
        </w:rPr>
        <w:t xml:space="preserve">, l'avviso e la casella «Costi per il Comune nel periodo (stima)»; nel PDF e nell'Excel la riga «ATTENZIONE» sopra la tabella annuale.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(Rinnovabili.it e GreenReport attraverso Bing News, perché non si leggono direttamente).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5.2 · 22/10/2026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5.2 · 22/10/2026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j00cxwd139jmglwpb2ntm"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5.2)</dc:title>
  <dc:creator>Fondazione Operate</dc:creator>
  <cp:lastModifiedBy>Un-named</cp:lastModifiedBy>
  <cp:revision>1</cp:revision>
  <dcterms:created xsi:type="dcterms:W3CDTF">2026-10-22T12:47:18.873Z</dcterms:created>
  <dcterms:modified xsi:type="dcterms:W3CDTF">2026-10-22T12:47:18.873Z</dcterms:modified>
</cp:coreProperties>
</file>

<file path=docProps/custom.xml><?xml version="1.0" encoding="utf-8"?>
<Properties xmlns="http://schemas.openxmlformats.org/officeDocument/2006/custom-properties" xmlns:vt="http://schemas.openxmlformats.org/officeDocument/2006/docPropsVTypes"/>
</file>