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8.0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25/10/2026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(script 47), Progetti esistenti a Caso 1; tutti gli script 01-47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(script 46, versione gratuita) in produzione; secondo lotto di gestori lombardi verificati; tutti gli script 01-46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8.0 del 25/10/2026.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24</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30</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54</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56</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62</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63</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79</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47_listino_obbligatorio.sql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(25/10/2026, richiesta di Luca delle 12:07; </w:t>
            </w:r>
            <w:r>
              <w:rPr>
                <w:rFonts w:ascii="Arial" w:cs="Arial" w:eastAsia="Arial" w:hAnsi="Arial"/>
                <w:b/>
                <w:bCs/>
                <w:color w:val="1B2118"/>
                <w:sz w:val="18"/>
                <w:szCs w:val="18"/>
              </w:rPr>
              <w:t xml:space="preserve">eseguito in produzione il 25/10/2026 alle 12:15</w:t>
            </w:r>
            <w:r>
              <w:rPr>
                <w:rFonts w:ascii="Arial" w:cs="Arial" w:eastAsia="Arial" w:hAnsi="Arial"/>
                <w:color w:val="1B2118"/>
                <w:sz w:val="18"/>
                <w:szCs w:val="18"/>
              </w:rPr>
              <w:t xml:space="preserve">): i Progetti senza listino passano a Caso 1 con motivazione nell'audit; trigger </w:t>
            </w:r>
            <w:r>
              <w:rPr>
                <w:rFonts w:ascii="Consolas" w:cs="Consolas" w:eastAsia="Consolas" w:hAnsi="Consolas"/>
                <w:color w:val="2F5D3A"/>
                <w:sz w:val="18"/>
                <w:szCs w:val="18"/>
              </w:rPr>
              <w:t xml:space="preserve">trg_pratica_listino</w:t>
            </w:r>
            <w:r>
              <w:rPr>
                <w:rFonts w:ascii="Arial" w:cs="Arial" w:eastAsia="Arial" w:hAnsi="Arial"/>
                <w:color w:val="1B2118"/>
                <w:sz w:val="18"/>
                <w:szCs w:val="18"/>
              </w:rPr>
              <w:t xml:space="preserve"> (messaggio «Scegli il listino…») e vincolo </w:t>
            </w:r>
            <w:r>
              <w:rPr>
                <w:rFonts w:ascii="Consolas" w:cs="Consolas" w:eastAsia="Consolas" w:hAnsi="Consolas"/>
                <w:color w:val="2F5D3A"/>
                <w:sz w:val="18"/>
                <w:szCs w:val="18"/>
              </w:rPr>
              <w:t xml:space="preserve">chk_progetto_listino</w:t>
            </w:r>
            <w:r>
              <w:rPr>
                <w:rFonts w:ascii="Arial" w:cs="Arial" w:eastAsia="Arial" w:hAnsi="Arial"/>
                <w:color w:val="1B2118"/>
                <w:sz w:val="18"/>
                <w:szCs w:val="18"/>
              </w:rPr>
              <w:t xml:space="preserve"> (ogni Progetto ha Caso 1 o Caso 2; i Rapporti no). Prova </w:t>
            </w:r>
            <w:r>
              <w:rPr>
                <w:rFonts w:ascii="Consolas" w:cs="Consolas" w:eastAsia="Consolas" w:hAnsi="Consolas"/>
                <w:color w:val="2F5D3A"/>
                <w:sz w:val="18"/>
                <w:szCs w:val="18"/>
              </w:rPr>
              <w:t xml:space="preserve">t47.sql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46_lettura_siti.sql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di Comuni e gestori (25/10/2026, richiesta di Luca; versione gratuita scelta da Luca; </w:t>
            </w:r>
            <w:r>
              <w:rPr>
                <w:rFonts w:ascii="Arial" w:cs="Arial" w:eastAsia="Arial" w:hAnsi="Arial"/>
                <w:b/>
                <w:bCs/>
                <w:color w:val="1B2118"/>
                <w:sz w:val="18"/>
                <w:szCs w:val="18"/>
              </w:rPr>
              <w:t xml:space="preserve">eseguito in produzione il 25/10/2026 alle 11:45</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mkt_lettura</w:t>
            </w:r>
            <w:r>
              <w:rPr>
                <w:rFonts w:ascii="Arial" w:cs="Arial" w:eastAsia="Arial" w:hAnsi="Arial"/>
                <w:color w:val="1B2118"/>
                <w:sz w:val="18"/>
                <w:szCs w:val="18"/>
              </w:rPr>
              <w:t xml:space="preserve"> (coda: stato, tentativi, pagine lette, esito, errore), impostazioni </w:t>
            </w:r>
            <w:r>
              <w:rPr>
                <w:rFonts w:ascii="Consolas" w:cs="Consolas" w:eastAsia="Consolas" w:hAnsi="Consolas"/>
                <w:color w:val="2F5D3A"/>
                <w:sz w:val="18"/>
                <w:szCs w:val="18"/>
              </w:rPr>
              <w:t xml:space="preserve">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mkt_lettura_segreto</w:t>
            </w:r>
            <w:r>
              <w:rPr>
                <w:rFonts w:ascii="Arial" w:cs="Arial" w:eastAsia="Arial" w:hAnsi="Arial"/>
                <w:color w:val="1B2118"/>
                <w:sz w:val="18"/>
                <w:szCs w:val="18"/>
              </w:rPr>
              <w:t xml:space="preserve"> (codice casuale per il lavoro pianificato, non leggibile dal portale) e </w:t>
            </w:r>
            <w:r>
              <w:rPr>
                <w:rFonts w:ascii="Consolas" w:cs="Consolas" w:eastAsia="Consolas" w:hAnsi="Consolas"/>
                <w:color w:val="2F5D3A"/>
                <w:sz w:val="18"/>
                <w:szCs w:val="18"/>
              </w:rPr>
              <w:t xml:space="preserve">url_marketing</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admin_mkt_lettura_accoda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admin_mkt_lettura_riepilogo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mkt_lettura_prendi</w:t>
            </w:r>
            <w:r>
              <w:rPr>
                <w:rFonts w:ascii="Arial" w:cs="Arial" w:eastAsia="Arial" w:hAnsi="Arial"/>
                <w:color w:val="1B2118"/>
                <w:sz w:val="18"/>
                <w:szCs w:val="18"/>
              </w:rPr>
              <w:t xml:space="preserve"> (solo chiave di servizio, </w:t>
            </w:r>
            <w:r>
              <w:rPr>
                <w:rFonts w:ascii="Consolas" w:cs="Consolas" w:eastAsia="Consolas" w:hAnsi="Consolas"/>
                <w:color w:val="2F5D3A"/>
                <w:sz w:val="18"/>
                <w:szCs w:val="18"/>
              </w:rPr>
              <w:t xml:space="preserve">skip locked</w:t>
            </w:r>
            <w:r>
              <w:rPr>
                <w:rFonts w:ascii="Arial" w:cs="Arial" w:eastAsia="Arial" w:hAnsi="Arial"/>
                <w:color w:val="1B2118"/>
                <w:sz w:val="18"/>
                <w:szCs w:val="18"/>
              </w:rPr>
              <w:t xml:space="preserve">, riprende le letture interrotte), </w:t>
            </w:r>
            <w:r>
              <w:rPr>
                <w:rFonts w:ascii="Consolas" w:cs="Consolas" w:eastAsia="Consolas" w:hAnsi="Consolas"/>
                <w:color w:val="2F5D3A"/>
                <w:sz w:val="18"/>
                <w:szCs w:val="18"/>
              </w:rPr>
              <w:t xml:space="preserve">richiedi_lettura_siti</w:t>
            </w:r>
            <w:r>
              <w:rPr>
                <w:rFonts w:ascii="Arial" w:cs="Arial" w:eastAsia="Arial" w:hAnsi="Arial"/>
                <w:color w:val="1B2118"/>
                <w:sz w:val="18"/>
                <w:szCs w:val="18"/>
              </w:rPr>
              <w:t xml:space="preserve"> e lavoro pianificato </w:t>
            </w:r>
            <w:r>
              <w:rPr>
                <w:rFonts w:ascii="Consolas" w:cs="Consolas" w:eastAsia="Consolas" w:hAnsi="Consolas"/>
                <w:color w:val="2F5D3A"/>
                <w:sz w:val="18"/>
                <w:szCs w:val="18"/>
              </w:rPr>
              <w:t xml:space="preserve">cwp_lettura_siti</w:t>
            </w:r>
            <w:r>
              <w:rPr>
                <w:rFonts w:ascii="Arial" w:cs="Arial" w:eastAsia="Arial" w:hAnsi="Arial"/>
                <w:color w:val="1B2118"/>
                <w:sz w:val="18"/>
                <w:szCs w:val="18"/>
              </w:rPr>
              <w:t xml:space="preserve"> ogni 30 secondi. Prova </w:t>
            </w:r>
            <w:r>
              <w:rPr>
                <w:rFonts w:ascii="Consolas" w:cs="Consolas" w:eastAsia="Consolas" w:hAnsi="Consolas"/>
                <w:color w:val="2F5D3A"/>
                <w:sz w:val="18"/>
                <w:szCs w:val="18"/>
              </w:rPr>
              <w:t xml:space="preserve">t46.sql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 Dal 25/10 anche l'azione </w:t>
            </w:r>
            <w:r>
              <w:rPr>
                <w:rFonts w:ascii="Consolas" w:cs="Consolas" w:eastAsia="Consolas" w:hAnsi="Consolas"/>
                <w:color w:val="2F5D3A"/>
                <w:sz w:val="18"/>
                <w:szCs w:val="18"/>
              </w:rPr>
              <w:t xml:space="preserve">leggi_siti</w:t>
            </w:r>
            <w:r>
              <w:rPr>
                <w:rFonts w:ascii="Arial" w:cs="Arial" w:eastAsia="Arial" w:hAnsi="Arial"/>
                <w:color w:val="1B2118"/>
                <w:sz w:val="18"/>
                <w:szCs w:val="18"/>
              </w:rPr>
              <w:t xml:space="preserve"> (lettore dei siti, regole fisse, nessun servizio a pagamento), chiamata ogni 30 secondi dal lavoro pianificato con il codice segreto quando la lettura è accesa; ripubblicata alle 11:45 e 11:52</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(5.642 con email generica, 7.504 con PEC e referenti) e 5.818 gestori in categoria 1. Mancano: dominio email verificato, verifica legale delle email promozionali, verifica sui siti delle attività e dei referenti dei gestori</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25 ottobre 2026</w:t>
      </w:r>
    </w:p>
    <w:p>
      <w:pPr>
        <w:pStyle w:val="ListParagraph"/>
        <w:numPr>
          <w:ilvl w:val="0"/>
          <w:numId w:val="3"/>
        </w:numPr>
        <w:spacing w:after="70" w:line="290"/>
      </w:pPr>
      <w:r>
        <w:rPr>
          <w:rFonts w:ascii="Arial" w:cs="Arial" w:eastAsia="Arial" w:hAnsi="Arial"/>
          <w:b/>
          <w:bCs/>
          <w:color w:val="1B2118"/>
          <w:sz w:val="21"/>
          <w:szCs w:val="21"/>
        </w:rPr>
        <w:t xml:space="preserve">Scenari del simulatore per i 5 Comuni dei Progetti</w:t>
      </w:r>
      <w:r>
        <w:rPr>
          <w:rFonts w:ascii="Arial" w:cs="Arial" w:eastAsia="Arial" w:hAnsi="Arial"/>
          <w:color w:val="1B2118"/>
          <w:sz w:val="21"/>
          <w:szCs w:val="21"/>
        </w:rPr>
        <w:t xml:space="preserve"> (richiesta di Luca delle 13:23: «popola i dati di simulazione per i comuni mancanti coerente alla metodologia»). Creati alle 13:35 nel SQL Editor, collegati all'organizzazione, con lo stesso motore del Simulatore (calcolati prima in locale, nessun errore nei dati) e la nota del metodo in ogni scenario: Comuni di prova senza dati ISPRA, quindi scenario di riferimento dai valori medi del cluster SOSE 4 della Tabella 3 (Standard 4.8.1, metodo «cluster») × abitanti, riportato al 65% di differenziata; obiettivi −5% rifiuti pro capite e −30% secco al 2036; metodo «bilancio del Comune», buffer 20%, 32 €/credito, Caso 1. Risultati in 10 anni (crediti netti, ricavi, costo per il cliente): Borgoval 7.021,6 / 224.480 € / 232.162 €; del col 1.812,7 / 57.792 € / 76.964 €; vvoli 3.038,3 / 97.056 € / 119.847 €; COLLAUDO V03 A 265,8 / 8.320 € / 12.500 €; B 531,8 / 16.832 € / 23.000 €. Da sostituire con i dati ISPRA dei Comuni quando disponibili.</w:t>
      </w:r>
    </w:p>
    <w:p>
      <w:pPr>
        <w:pStyle w:val="ListParagraph"/>
        <w:numPr>
          <w:ilvl w:val="0"/>
          <w:numId w:val="3"/>
        </w:numPr>
        <w:spacing w:after="70" w:line="290"/>
      </w:pPr>
      <w:r>
        <w:rPr>
          <w:rFonts w:ascii="Arial" w:cs="Arial" w:eastAsia="Arial" w:hAnsi="Arial"/>
          <w:b/>
          <w:bCs/>
          <w:color w:val="1B2118"/>
          <w:sz w:val="21"/>
          <w:szCs w:val="21"/>
        </w:rPr>
        <w:t xml:space="preserve">Abitanti dei 3 Progetti</w:t>
      </w:r>
      <w:r>
        <w:rPr>
          <w:rFonts w:ascii="Arial" w:cs="Arial" w:eastAsia="Arial" w:hAnsi="Arial"/>
          <w:color w:val="1B2118"/>
          <w:sz w:val="21"/>
          <w:szCs w:val="21"/>
        </w:rPr>
        <w:t xml:space="preserve"> (indicati da Luca alle 13:19), inseriti alle 13:20 nel SQL Editor con la motivazione nell'audit «Popolazione residente indicata da Luca Moretti il 25/10/2026»: CWP-2026-0001 26.382, CWP-2026-003 6.811, cwp-026-005 11.414. Con il Caso 1 il valore per il cliente in 10 anni è 232.161,60 €, 76.964,30 € e 119.847,00 €; con i due Progetti di collaudo il «Valore dei progetti» della Dashboard arriva a 464.472,90 €.</w:t>
      </w:r>
    </w:p>
    <w:p>
      <w:pPr>
        <w:pStyle w:val="ListParagraph"/>
        <w:numPr>
          <w:ilvl w:val="0"/>
          <w:numId w:val="3"/>
        </w:numPr>
        <w:spacing w:after="70" w:line="290"/>
      </w:pPr>
      <w:r>
        <w:rPr>
          <w:rFonts w:ascii="Arial" w:cs="Arial" w:eastAsia="Arial" w:hAnsi="Arial"/>
          <w:b/>
          <w:bCs/>
          <w:color w:val="1B2118"/>
          <w:sz w:val="21"/>
          <w:szCs w:val="21"/>
        </w:rPr>
        <w:t xml:space="preserve">Listino obbligatorio</w:t>
      </w:r>
      <w:r>
        <w:rPr>
          <w:rFonts w:ascii="Arial" w:cs="Arial" w:eastAsia="Arial" w:hAnsi="Arial"/>
          <w:color w:val="1B2118"/>
          <w:sz w:val="21"/>
          <w:szCs w:val="21"/>
        </w:rPr>
        <w:t xml:space="preserve"> (richiesta di Luca delle 12:07: «per i dati esistenti imposta a tutti caso 1, poi rendi obbligatoria la selezione del campo per i nuovi inserimenti»). Script 47 in produzione alle 12:15: i 5 Progetti (CWP-2026-0001, CWP-2026-003, cwp-026-005, COLLAUDO-V03-A e -B) a Caso 1, ognuno con la voce di audit «Listino Caso 1 per i Progetti esistenti, indicato da Luca Moretti il 25/10/2026». Il nuovo Progetto aveva già il listino obbligatorio nel modulo; ora anche il database lo impone e nei dati della pratica non c'è più la voce «da indicare». Tre Progetti non hanno ancora gli abitanti (CWP-2026-0001, CWP-2026-003, cwp-026-005): il loro valore per il cliente comparirà quando lo staff li inserisce. Prova </w:t>
      </w:r>
      <w:r>
        <w:rPr>
          <w:rFonts w:ascii="Consolas" w:cs="Consolas" w:eastAsia="Consolas" w:hAnsi="Consolas"/>
          <w:color w:val="2F5D3A"/>
          <w:sz w:val="21"/>
          <w:szCs w:val="21"/>
        </w:rPr>
        <w:t xml:space="preserve">t47.sql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Lettore dei siti di Comuni e gestori</w:t>
      </w:r>
      <w:r>
        <w:rPr>
          <w:rFonts w:ascii="Arial" w:cs="Arial" w:eastAsia="Arial" w:hAnsi="Arial"/>
          <w:color w:val="1B2118"/>
          <w:sz w:val="21"/>
          <w:szCs w:val="21"/>
        </w:rPr>
        <w:t xml:space="preserve"> (richiesta di Luca delle 11:27: «devi cercare nei singoli siti internet di ogni gestore e comune»). Prima versione con Claude per leggere nomi e uffici (stima 40-60 $ una tantum); </w:t>
      </w:r>
      <w:r>
        <w:rPr>
          <w:rFonts w:ascii="Arial" w:cs="Arial" w:eastAsia="Arial" w:hAnsi="Arial"/>
          <w:b/>
          <w:bCs/>
          <w:color w:val="1B2118"/>
          <w:sz w:val="21"/>
          <w:szCs w:val="21"/>
        </w:rPr>
        <w:t xml:space="preserve">Luca ha scelto la versione gratuita</w:t>
      </w:r>
      <w:r>
        <w:rPr>
          <w:rFonts w:ascii="Arial" w:cs="Arial" w:eastAsia="Arial" w:hAnsi="Arial"/>
          <w:color w:val="1B2118"/>
          <w:sz w:val="21"/>
          <w:szCs w:val="21"/>
        </w:rPr>
        <w:t xml:space="preserve"> (11:39): regole fisse nel codice, nessun servizio a pagamento. Ramo </w:t>
      </w:r>
      <w:r>
        <w:rPr>
          <w:rFonts w:ascii="Consolas" w:cs="Consolas" w:eastAsia="Consolas" w:hAnsi="Consolas"/>
          <w:color w:val="2F5D3A"/>
          <w:sz w:val="21"/>
          <w:szCs w:val="21"/>
        </w:rPr>
        <w:t xml:space="preserve">lettore-siti</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5be70e1</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cb5c315</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src/lib/marketingLettura.js</w:t>
      </w:r>
      <w:r>
        <w:rPr>
          <w:rFonts w:ascii="Arial" w:cs="Arial" w:eastAsia="Arial" w:hAnsi="Arial"/>
          <w:color w:val="1B2118"/>
          <w:sz w:val="20"/>
          <w:szCs w:val="20"/>
        </w:rPr>
        <w:t xml:space="preserve"> (copiato identico nella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testo dall'HTML, collegamenti utili (contatti, uffici, amministrazione trasparente, organigramma), robots.txt, </w:t>
      </w:r>
      <w:r>
        <w:rPr>
          <w:rFonts w:ascii="Consolas" w:cs="Consolas" w:eastAsia="Consolas" w:hAnsi="Consolas"/>
          <w:color w:val="2F5D3A"/>
          <w:sz w:val="20"/>
          <w:szCs w:val="20"/>
        </w:rPr>
        <w:t xml:space="preserve">estraiDati</w:t>
      </w:r>
      <w:r>
        <w:rPr>
          <w:rFonts w:ascii="Arial" w:cs="Arial" w:eastAsia="Arial" w:hAnsi="Arial"/>
          <w:color w:val="1B2118"/>
          <w:sz w:val="20"/>
          <w:szCs w:val="20"/>
        </w:rPr>
        <w:t xml:space="preserve"> (email generica sul dominio dell'ente, PEC, telefono; Comuni: uffici tributi e ambiente con email, telefono e responsabile dopo «Responsabile:», «Dirigente:»…; gestori: presidente, amministratore, direttori, raccolta, tariffa, Comuni citati) e </w:t>
      </w:r>
      <w:r>
        <w:rPr>
          <w:rFonts w:ascii="Consolas" w:cs="Consolas" w:eastAsia="Consolas" w:hAnsi="Consolas"/>
          <w:color w:val="2F5D3A"/>
          <w:sz w:val="20"/>
          <w:szCs w:val="20"/>
        </w:rPr>
        <w:t xml:space="preserve">controlloEsito</w:t>
      </w:r>
      <w:r>
        <w:rPr>
          <w:rFonts w:ascii="Arial" w:cs="Arial" w:eastAsia="Arial" w:hAnsi="Arial"/>
          <w:color w:val="1B2118"/>
          <w:sz w:val="20"/>
          <w:szCs w:val="20"/>
        </w:rPr>
        <w:t xml:space="preserve"> (solo dati presenti nel testo, PEC separate, fonte = pagina letta).</w:t>
      </w:r>
    </w:p>
    <w:p>
      <w:pPr>
        <w:pStyle w:val="ListParagraph"/>
        <w:numPr>
          <w:ilvl w:val="1"/>
          <w:numId w:val="3"/>
        </w:numPr>
        <w:spacing w:after="70" w:line="290"/>
      </w:pPr>
      <w:r>
        <w:rPr>
          <w:rFonts w:ascii="Arial" w:cs="Arial" w:eastAsia="Arial" w:hAnsi="Arial"/>
          <w:color w:val="1B2118"/>
          <w:sz w:val="20"/>
          <w:szCs w:val="20"/>
        </w:rPr>
        <w:t xml:space="preserve">Script 46 eseguito alle 11:45 (lavoro </w:t>
      </w:r>
      <w:r>
        <w:rPr>
          <w:rFonts w:ascii="Consolas" w:cs="Consolas" w:eastAsia="Consolas" w:hAnsi="Consolas"/>
          <w:color w:val="2F5D3A"/>
          <w:sz w:val="20"/>
          <w:szCs w:val="20"/>
        </w:rPr>
        <w:t xml:space="preserve">cwp_lettura_siti</w:t>
      </w:r>
      <w:r>
        <w:rPr>
          <w:rFonts w:ascii="Arial" w:cs="Arial" w:eastAsia="Arial" w:hAnsi="Arial"/>
          <w:color w:val="1B2118"/>
          <w:sz w:val="20"/>
          <w:szCs w:val="20"/>
        </w:rPr>
        <w:t xml:space="preserve"> ogni 30 secondi, lettura spenta all'inizio); funzione pubblicata; pagina Importazioni con la sezione «Lettura dei siti».</w:t>
      </w:r>
    </w:p>
    <w:p>
      <w:pPr>
        <w:pStyle w:val="ListParagraph"/>
        <w:numPr>
          <w:ilvl w:val="1"/>
          <w:numId w:val="3"/>
        </w:numPr>
        <w:spacing w:after="70" w:line="290"/>
      </w:pPr>
      <w:r>
        <w:rPr>
          <w:rFonts w:ascii="Arial" w:cs="Arial" w:eastAsia="Arial" w:hAnsi="Arial"/>
          <w:color w:val="1B2118"/>
          <w:sz w:val="20"/>
          <w:szCs w:val="20"/>
        </w:rPr>
        <w:t xml:space="preserve">Prova su 11 enti: 8 letti (Lecco: protocollo, PEC, numero verde, email TARI e ambiente; Desio: email tributi ed ecologia; CEM e G.ECO: amministratori), 3 siti non raggiungibili. Due errori corretti subito (email del gestore presa come email del Comune; «Capitale Sociale» letto come nome) e dati sbagliati cancellati. Limite noto: i nomi dei responsabili dei Comuni si trovano di rado con regole fisse.</w:t>
      </w:r>
    </w:p>
    <w:p>
      <w:pPr>
        <w:pStyle w:val="ListParagraph"/>
        <w:numPr>
          <w:ilvl w:val="1"/>
          <w:numId w:val="3"/>
        </w:numPr>
        <w:spacing w:after="70" w:line="290"/>
      </w:pPr>
      <w:r>
        <w:rPr>
          <w:rFonts w:ascii="Arial" w:cs="Arial" w:eastAsia="Arial" w:hAnsi="Arial"/>
          <w:color w:val="1B2118"/>
          <w:sz w:val="20"/>
          <w:szCs w:val="20"/>
        </w:rPr>
        <w:t xml:space="preserve">11:59, OK di Luca: in coda tutti gli enti con sito (7.658), lettura accesa: circa 6 enti al minuto, un giorno circa per finire.</w:t>
      </w:r>
    </w:p>
    <w:p>
      <w:pPr>
        <w:pStyle w:val="ListParagraph"/>
        <w:numPr>
          <w:ilvl w:val="0"/>
          <w:numId w:val="3"/>
        </w:numPr>
        <w:spacing w:after="70" w:line="290"/>
      </w:pPr>
      <w:r>
        <w:rPr>
          <w:rFonts w:ascii="Arial" w:cs="Arial" w:eastAsia="Arial" w:hAnsi="Arial"/>
          <w:b/>
          <w:bCs/>
          <w:color w:val="1B2118"/>
          <w:sz w:val="21"/>
          <w:szCs w:val="21"/>
        </w:rPr>
        <w:t xml:space="preserve">Gestori verificati a mano, secondo lotto</w:t>
      </w:r>
      <w:r>
        <w:rPr>
          <w:rFonts w:ascii="Arial" w:cs="Arial" w:eastAsia="Arial" w:hAnsi="Arial"/>
          <w:color w:val="1B2118"/>
          <w:sz w:val="21"/>
          <w:szCs w:val="21"/>
        </w:rPr>
        <w:t xml:space="preserve">: Lombardia, le 10 imprese rimaste delle classi A-B e le 88 di classe C (ricerca sul web con fonti; scartati i dati incerti: un direttore del 2023, email su domini di altre società, un sito con partita IVA diversa). Caricati 98 gestori: in Lombardia tutte le 166 imprese delle classi A-C sono verificate (39 con raccolta per Comuni, 10 con gestione della tariffa).</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2rqllc3pebmbtyuijc91l">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ucchz7gesmsgjaxvlwefq">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p2zynzs_4ra-wqog4t1f">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slefxynd7e327iv4kkhk3">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186 file, 44.518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src/lib/marketingLettura.js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INIZIO-LETTURA-SITI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3"/>
        <w:gridCol w:w="950"/>
        <w:gridCol w:w="5185"/>
      </w:tblGrid>
      <w:tr>
        <w:trPr>
          <w:tblHeader/>
        </w:trPr>
        <w:tc>
          <w:tcPr>
            <w:tcW w:type="dxa" w:w="350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supabase/46_lettura_siti.sql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 — MARKETING: LETTORE DEI SITI DI COMUNI E GESTORI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supabase/47_listino_obbligatorio.sql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 — LISTINO OBBLIGATORIO PER I PROGETTI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1702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Lettore dei siti (dal 25/10, script 46)</w:t>
      </w:r>
    </w:p>
    <w:p>
      <w:pPr>
        <w:pStyle w:val="ListParagraph"/>
        <w:numPr>
          <w:ilvl w:val="0"/>
          <w:numId w:val="3"/>
        </w:numPr>
        <w:spacing w:after="70" w:line="290"/>
      </w:pPr>
      <w:r>
        <w:rPr>
          <w:rFonts w:ascii="Arial" w:cs="Arial" w:eastAsia="Arial" w:hAnsi="Arial"/>
          <w:color w:val="1B2118"/>
          <w:sz w:val="21"/>
          <w:szCs w:val="21"/>
        </w:rPr>
        <w:t xml:space="preserve">Coda </w:t>
      </w:r>
      <w:r>
        <w:rPr>
          <w:rFonts w:ascii="Consolas" w:cs="Consolas" w:eastAsia="Consolas" w:hAnsi="Consolas"/>
          <w:color w:val="2F5D3A"/>
          <w:sz w:val="21"/>
          <w:szCs w:val="21"/>
        </w:rPr>
        <w:t xml:space="preserve">mkt_lettura</w:t>
      </w:r>
      <w:r>
        <w:rPr>
          <w:rFonts w:ascii="Arial" w:cs="Arial" w:eastAsia="Arial" w:hAnsi="Arial"/>
          <w:color w:val="1B2118"/>
          <w:sz w:val="21"/>
          <w:szCs w:val="21"/>
        </w:rPr>
        <w:t xml:space="preserve">; il lavoro </w:t>
      </w:r>
      <w:r>
        <w:rPr>
          <w:rFonts w:ascii="Consolas" w:cs="Consolas" w:eastAsia="Consolas" w:hAnsi="Consolas"/>
          <w:color w:val="2F5D3A"/>
          <w:sz w:val="21"/>
          <w:szCs w:val="21"/>
        </w:rPr>
        <w:t xml:space="preserve">cwp_lettura_siti</w:t>
      </w:r>
      <w:r>
        <w:rPr>
          <w:rFonts w:ascii="Arial" w:cs="Arial" w:eastAsia="Arial" w:hAnsi="Arial"/>
          <w:color w:val="1B2118"/>
          <w:sz w:val="21"/>
          <w:szCs w:val="21"/>
        </w:rPr>
        <w:t xml:space="preserve"> ogni 30 secondi chiama </w:t>
      </w:r>
      <w:r>
        <w:rPr>
          <w:rFonts w:ascii="Consolas" w:cs="Consolas" w:eastAsia="Consolas" w:hAnsi="Consolas"/>
          <w:color w:val="2F5D3A"/>
          <w:sz w:val="21"/>
          <w:szCs w:val="21"/>
        </w:rPr>
        <w:t xml:space="preserve">leggi_siti</w:t>
      </w:r>
      <w:r>
        <w:rPr>
          <w:rFonts w:ascii="Arial" w:cs="Arial" w:eastAsia="Arial" w:hAnsi="Arial"/>
          <w:color w:val="1B2118"/>
          <w:sz w:val="21"/>
          <w:szCs w:val="21"/>
        </w:rPr>
        <w:t xml:space="preserve"> (4 enti alla volta) solo se </w:t>
      </w:r>
      <w:r>
        <w:rPr>
          <w:rFonts w:ascii="Consolas" w:cs="Consolas" w:eastAsia="Consolas" w:hAnsi="Consolas"/>
          <w:color w:val="2F5D3A"/>
          <w:sz w:val="21"/>
          <w:szCs w:val="21"/>
        </w:rPr>
        <w:t xml:space="preserve">mkt_lettura_attiva</w:t>
      </w:r>
      <w:r>
        <w:rPr>
          <w:rFonts w:ascii="Arial" w:cs="Arial" w:eastAsia="Arial" w:hAnsi="Arial"/>
          <w:color w:val="1B2118"/>
          <w:sz w:val="21"/>
          <w:szCs w:val="21"/>
        </w:rPr>
        <w:t xml:space="preserve"> = 'si'.</w:t>
      </w:r>
    </w:p>
    <w:p>
      <w:pPr>
        <w:pStyle w:val="ListParagraph"/>
        <w:numPr>
          <w:ilvl w:val="0"/>
          <w:numId w:val="3"/>
        </w:numPr>
        <w:spacing w:after="70" w:line="290"/>
      </w:pPr>
      <w:r>
        <w:rPr>
          <w:rFonts w:ascii="Arial" w:cs="Arial" w:eastAsia="Arial" w:hAnsi="Arial"/>
          <w:color w:val="1B2118"/>
          <w:sz w:val="21"/>
          <w:szCs w:val="21"/>
        </w:rPr>
        <w:t xml:space="preserve">Per ogni ente: robots.txt, home page, fino a 5 pagine utili e 2 di secondo livello, una ogni 0,7 secondi; regole fisse (</w:t>
      </w:r>
      <w:r>
        <w:rPr>
          <w:rFonts w:ascii="Consolas" w:cs="Consolas" w:eastAsia="Consolas" w:hAnsi="Consolas"/>
          <w:color w:val="2F5D3A"/>
          <w:sz w:val="21"/>
          <w:szCs w:val="21"/>
        </w:rPr>
        <w:t xml:space="preserve">estraiDati</w:t>
      </w:r>
      <w:r>
        <w:rPr>
          <w:rFonts w:ascii="Arial" w:cs="Arial" w:eastAsia="Arial" w:hAnsi="Arial"/>
          <w:color w:val="1B2118"/>
          <w:sz w:val="21"/>
          <w:szCs w:val="21"/>
        </w:rPr>
        <w:t xml:space="preserve">) e controllo (</w:t>
      </w:r>
      <w:r>
        <w:rPr>
          <w:rFonts w:ascii="Consolas" w:cs="Consolas" w:eastAsia="Consolas" w:hAnsi="Consolas"/>
          <w:color w:val="2F5D3A"/>
          <w:sz w:val="21"/>
          <w:szCs w:val="21"/>
        </w:rPr>
        <w:t xml:space="preserve">controlloEsito</w:t>
      </w:r>
      <w:r>
        <w:rPr>
          <w:rFonts w:ascii="Arial" w:cs="Arial" w:eastAsia="Arial" w:hAnsi="Arial"/>
          <w:color w:val="1B2118"/>
          <w:sz w:val="21"/>
          <w:szCs w:val="21"/>
        </w:rPr>
        <w:t xml:space="preserve">); riempie solo i campi vuoti di </w:t>
      </w:r>
      <w:r>
        <w:rPr>
          <w:rFonts w:ascii="Consolas" w:cs="Consolas" w:eastAsia="Consolas" w:hAnsi="Consolas"/>
          <w:color w:val="2F5D3A"/>
          <w:sz w:val="21"/>
          <w:szCs w:val="21"/>
        </w:rPr>
        <w:t xml:space="preserve">mkt_ente</w:t>
      </w:r>
      <w:r>
        <w:rPr>
          <w:rFonts w:ascii="Arial" w:cs="Arial" w:eastAsia="Arial" w:hAnsi="Arial"/>
          <w:color w:val="1B2118"/>
          <w:sz w:val="21"/>
          <w:szCs w:val="21"/>
        </w:rPr>
        <w:t xml:space="preserve">, referenti con chiave </w:t>
      </w:r>
      <w:r>
        <w:rPr>
          <w:rFonts w:ascii="Consolas" w:cs="Consolas" w:eastAsia="Consolas" w:hAnsi="Consolas"/>
          <w:color w:val="2F5D3A"/>
          <w:sz w:val="21"/>
          <w:szCs w:val="21"/>
        </w:rPr>
        <w:t xml:space="preserve">sito:&lt;ruolo&gt;:&lt;cognome|ufficio&gt;</w:t>
      </w:r>
      <w:r>
        <w:rPr>
          <w:rFonts w:ascii="Arial" w:cs="Arial" w:eastAsia="Arial" w:hAnsi="Arial"/>
          <w:color w:val="1B2118"/>
          <w:sz w:val="21"/>
          <w:szCs w:val="21"/>
        </w:rPr>
        <w:t xml:space="preserve"> e fonte.</w:t>
      </w:r>
    </w:p>
    <w:p>
      <w:pPr>
        <w:pStyle w:val="ListParagraph"/>
        <w:numPr>
          <w:ilvl w:val="0"/>
          <w:numId w:val="3"/>
        </w:numPr>
        <w:spacing w:after="70" w:line="290"/>
      </w:pPr>
      <w:r>
        <w:rPr>
          <w:rFonts w:ascii="Arial" w:cs="Arial" w:eastAsia="Arial" w:hAnsi="Arial"/>
          <w:color w:val="1B2118"/>
          <w:sz w:val="21"/>
          <w:szCs w:val="21"/>
        </w:rPr>
        <w:t xml:space="preserve">Nessun servizio a pagamento (scelta di Luca del 25/10/2026): le colonne </w:t>
      </w:r>
      <w:r>
        <w:rPr>
          <w:rFonts w:ascii="Consolas" w:cs="Consolas" w:eastAsia="Consolas" w:hAnsi="Consolas"/>
          <w:color w:val="2F5D3A"/>
          <w:sz w:val="21"/>
          <w:szCs w:val="21"/>
        </w:rPr>
        <w:t xml:space="preserve">token_in</w:t>
      </w:r>
      <w:r>
        <w:rPr>
          <w:rFonts w:ascii="Arial" w:cs="Arial" w:eastAsia="Arial" w:hAnsi="Arial"/>
          <w:color w:val="1B2118"/>
          <w:sz w:val="21"/>
          <w:szCs w:val="21"/>
        </w:rPr>
        <w:t xml:space="preserve">/</w:t>
      </w:r>
      <w:r>
        <w:rPr>
          <w:rFonts w:ascii="Consolas" w:cs="Consolas" w:eastAsia="Consolas" w:hAnsi="Consolas"/>
          <w:color w:val="2F5D3A"/>
          <w:sz w:val="21"/>
          <w:szCs w:val="21"/>
        </w:rPr>
        <w:t xml:space="preserve">token_out</w:t>
      </w:r>
      <w:r>
        <w:rPr>
          <w:rFonts w:ascii="Arial" w:cs="Arial" w:eastAsia="Arial" w:hAnsi="Arial"/>
          <w:color w:val="1B2118"/>
          <w:sz w:val="21"/>
          <w:szCs w:val="21"/>
        </w:rPr>
        <w:t xml:space="preserve"> restano a zero.</w:t>
      </w:r>
    </w:p>
    <w:p>
      <w:pPr>
        <w:pStyle w:val="ListParagraph"/>
        <w:numPr>
          <w:ilvl w:val="0"/>
          <w:numId w:val="3"/>
        </w:numPr>
        <w:spacing w:after="70" w:line="290"/>
      </w:pPr>
      <w:r>
        <w:rPr>
          <w:rFonts w:ascii="Arial" w:cs="Arial" w:eastAsia="Arial" w:hAnsi="Arial"/>
          <w:color w:val="1B2118"/>
          <w:sz w:val="21"/>
          <w:szCs w:val="21"/>
        </w:rPr>
        <w:t xml:space="preserve">Pagina Importazioni → «Lettura dei siti»: coda, letti, errori, Avvia / Ferma, «Leggi ora 1 ente», ultimi errori.</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8.0 · 25/10/2026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8.0 · 25/10/2026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2rqllc3pebmbtyuijc91l" Type="http://schemas.openxmlformats.org/officeDocument/2006/relationships/hyperlink" Target="https://claude.ai/artifact/L9duSXhNfKejbz6RKXDQQv" TargetMode="External"/><Relationship Id="rIducchz7gesmsgjaxvlwefq" Type="http://schemas.openxmlformats.org/officeDocument/2006/relationships/hyperlink" Target="https://claude.ai/code/artifact/e2dd2bd5-8042-4744-8d5a-54d34dc50153" TargetMode="External"/><Relationship Id="rIdkp2zynzs_4ra-wqog4t1f" Type="http://schemas.openxmlformats.org/officeDocument/2006/relationships/hyperlink" Target="https://claude.ai/code/artifact/cc36ab09-61e6-4dad-aaf0-4082ea0a46da" TargetMode="External"/><Relationship Id="rIdslefxynd7e327iv4kkhk3"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8.0)</dc:title>
  <dc:creator>Fondazione Operate</dc:creator>
  <cp:lastModifiedBy>Un-named</cp:lastModifiedBy>
  <cp:revision>1</cp:revision>
  <dcterms:created xsi:type="dcterms:W3CDTF">2026-10-25T12:27:17.607Z</dcterms:created>
  <dcterms:modified xsi:type="dcterms:W3CDTF">2026-10-25T12:27:17.607Z</dcterms:modified>
</cp:coreProperties>
</file>

<file path=docProps/custom.xml><?xml version="1.0" encoding="utf-8"?>
<Properties xmlns="http://schemas.openxmlformats.org/officeDocument/2006/custom-properties" xmlns:vt="http://schemas.openxmlformats.org/officeDocument/2006/docPropsVTypes"/>
</file>