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3.8</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20/10/2026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PDF ed Excel del simulatore; messaggi d'errore dell'assistente.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messaggio «Un attimo…» durante l'attesa.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attivo: chiave legata a uno spazio di lavoro, crediti e consumi.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documenti ufficiali del Programma nella Documentazione.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nella pagina Documentazione.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tutte le tabelle e degli elenchi.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metodo di stima per utenza (solo utenze virtuose), buffer del Capitolo 7, taratura.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diventa Dashboard; barra a LED delle 7 fasi per ogni pratica.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Eliminazione degli utenti che non hanno mai operato (script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automatica con le credenziali al nuovo utente e alla reimpostazione della 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con accesso completo; Amministratore principale protetto (script 29).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per il Comune secondo il Caso 1 (progetto volontario) o il Caso 2 (progetto obbligatorio da bando).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proposto 32 €.</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valore unitario del credito e costi per il Comune (contratti tipo della Fondazione, Schema tariffario).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riferimento sempre alla soglia del 65% di differenziata e controllo dei valori fuori scala.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conforme al modello CWP: scenario di riferimento dello Standard 4.8.1, situazione attuale, conformità.</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3.8 del 20/10/2026.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Dashboard</w:t>
        </w:r>
        <w:r>
          <w:rPr>
            <w:rFonts w:ascii="Arial" w:cs="Arial" w:eastAsia="Arial" w:hAnsi="Arial"/>
            <w:color w:val="1B2118"/>
            <w:sz w:val="22"/>
            <w:szCs w:val="22"/>
          </w:rPr>
          <w:tab/>
          <w:t xml:space="preserve">8</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9</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11</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13</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14</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15</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17</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18</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20</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21</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22</w:t>
        </w:r>
      </w:hyperlink>
    </w:p>
    <w:p>
      <w:pPr>
        <w:tabs>
          <w:tab w:val="right" w:pos="9638" w:leader="dot"/>
        </w:tabs>
        <w:spacing w:after="130"/>
      </w:pPr>
      <w:hyperlink w:history="1" w:anchor="cap14">
        <w:r>
          <w:rPr>
            <w:rFonts w:ascii="Arial" w:cs="Arial" w:eastAsia="Arial" w:hAnsi="Arial"/>
            <w:color w:val="1B2118"/>
            <w:sz w:val="22"/>
            <w:szCs w:val="22"/>
          </w:rPr>
          <w:t xml:space="preserve">14.  Audit trail</w:t>
        </w:r>
        <w:r>
          <w:rPr>
            <w:rFonts w:ascii="Arial" w:cs="Arial" w:eastAsia="Arial" w:hAnsi="Arial"/>
            <w:color w:val="1B2118"/>
            <w:sz w:val="22"/>
            <w:szCs w:val="22"/>
          </w:rPr>
          <w:tab/>
          <w:t xml:space="preserve">25</w:t>
        </w:r>
      </w:hyperlink>
    </w:p>
    <w:p>
      <w:pPr>
        <w:tabs>
          <w:tab w:val="right" w:pos="9638" w:leader="dot"/>
        </w:tabs>
        <w:spacing w:after="130"/>
      </w:pPr>
      <w:hyperlink w:history="1" w:anchor="cap15">
        <w:r>
          <w:rPr>
            <w:rFonts w:ascii="Arial" w:cs="Arial" w:eastAsia="Arial" w:hAnsi="Arial"/>
            <w:color w:val="1B2118"/>
            <w:sz w:val="22"/>
            <w:szCs w:val="22"/>
          </w:rPr>
          <w:t xml:space="preserve">15.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6">
        <w:r>
          <w:rPr>
            <w:rFonts w:ascii="Arial" w:cs="Arial" w:eastAsia="Arial" w:hAnsi="Arial"/>
            <w:color w:val="1B2118"/>
            <w:sz w:val="22"/>
            <w:szCs w:val="22"/>
          </w:rPr>
          <w:t xml:space="preserve">16.  Impostazioni</w:t>
        </w:r>
        <w:r>
          <w:rPr>
            <w:rFonts w:ascii="Arial" w:cs="Arial" w:eastAsia="Arial" w:hAnsi="Arial"/>
            <w:color w:val="1B2118"/>
            <w:sz w:val="22"/>
            <w:szCs w:val="22"/>
          </w:rPr>
          <w:tab/>
          <w:t xml:space="preserve">28</w:t>
        </w:r>
      </w:hyperlink>
    </w:p>
    <w:p>
      <w:pPr>
        <w:tabs>
          <w:tab w:val="right" w:pos="9638" w:leader="dot"/>
        </w:tabs>
        <w:spacing w:after="130"/>
      </w:pPr>
      <w:hyperlink w:history="1" w:anchor="cap17">
        <w:r>
          <w:rPr>
            <w:rFonts w:ascii="Arial" w:cs="Arial" w:eastAsia="Arial" w:hAnsi="Arial"/>
            <w:color w:val="1B2118"/>
            <w:sz w:val="22"/>
            <w:szCs w:val="22"/>
          </w:rPr>
          <w:t xml:space="preserve">17.  Calcolo dei crediti CWP</w:t>
        </w:r>
        <w:r>
          <w:rPr>
            <w:rFonts w:ascii="Arial" w:cs="Arial" w:eastAsia="Arial" w:hAnsi="Arial"/>
            <w:color w:val="1B2118"/>
            <w:sz w:val="22"/>
            <w:szCs w:val="22"/>
          </w:rPr>
          <w:tab/>
          <w:t xml:space="preserve">31</w:t>
        </w:r>
      </w:hyperlink>
    </w:p>
    <w:p>
      <w:pPr>
        <w:tabs>
          <w:tab w:val="right" w:pos="9638" w:leader="dot"/>
        </w:tabs>
        <w:spacing w:after="130"/>
      </w:pPr>
      <w:hyperlink w:history="1" w:anchor="cap18">
        <w:r>
          <w:rPr>
            <w:rFonts w:ascii="Arial" w:cs="Arial" w:eastAsia="Arial" w:hAnsi="Arial"/>
            <w:color w:val="1B2118"/>
            <w:sz w:val="22"/>
            <w:szCs w:val="22"/>
          </w:rPr>
          <w:t xml:space="preserve">18.  Simulatore di scenari</w:t>
        </w:r>
        <w:r>
          <w:rPr>
            <w:rFonts w:ascii="Arial" w:cs="Arial" w:eastAsia="Arial" w:hAnsi="Arial"/>
            <w:color w:val="1B2118"/>
            <w:sz w:val="22"/>
            <w:szCs w:val="22"/>
          </w:rPr>
          <w:tab/>
          <w:t xml:space="preserve">37</w:t>
        </w:r>
      </w:hyperlink>
    </w:p>
    <w:p>
      <w:pPr>
        <w:tabs>
          <w:tab w:val="right" w:pos="9638" w:leader="dot"/>
        </w:tabs>
        <w:spacing w:after="130"/>
      </w:pPr>
      <w:hyperlink w:history="1" w:anchor="cap19">
        <w:r>
          <w:rPr>
            <w:rFonts w:ascii="Arial" w:cs="Arial" w:eastAsia="Arial" w:hAnsi="Arial"/>
            <w:color w:val="1B2118"/>
            <w:sz w:val="22"/>
            <w:szCs w:val="22"/>
          </w:rPr>
          <w:t xml:space="preserve">19.  Crediti emessi</w:t>
        </w:r>
        <w:r>
          <w:rPr>
            <w:rFonts w:ascii="Arial" w:cs="Arial" w:eastAsia="Arial" w:hAnsi="Arial"/>
            <w:color w:val="1B2118"/>
            <w:sz w:val="22"/>
            <w:szCs w:val="22"/>
          </w:rPr>
          <w:tab/>
          <w:t xml:space="preserve">41</w:t>
        </w:r>
      </w:hyperlink>
    </w:p>
    <w:p>
      <w:pPr>
        <w:tabs>
          <w:tab w:val="right" w:pos="9638" w:leader="dot"/>
        </w:tabs>
        <w:spacing w:after="130"/>
      </w:pPr>
      <w:hyperlink w:history="1" w:anchor="cap20">
        <w:r>
          <w:rPr>
            <w:rFonts w:ascii="Arial" w:cs="Arial" w:eastAsia="Arial" w:hAnsi="Arial"/>
            <w:color w:val="1B2118"/>
            <w:sz w:val="22"/>
            <w:szCs w:val="22"/>
          </w:rPr>
          <w:t xml:space="preserve">20.  Reclami e richieste di chiarimento</w:t>
        </w:r>
        <w:r>
          <w:rPr>
            <w:rFonts w:ascii="Arial" w:cs="Arial" w:eastAsia="Arial" w:hAnsi="Arial"/>
            <w:color w:val="1B2118"/>
            <w:sz w:val="22"/>
            <w:szCs w:val="22"/>
          </w:rPr>
          <w:tab/>
          <w:t xml:space="preserve">43</w:t>
        </w:r>
      </w:hyperlink>
    </w:p>
    <w:p>
      <w:pPr>
        <w:tabs>
          <w:tab w:val="right" w:pos="9638" w:leader="dot"/>
        </w:tabs>
        <w:spacing w:after="130"/>
      </w:pPr>
      <w:hyperlink w:history="1" w:anchor="cap21">
        <w:r>
          <w:rPr>
            <w:rFonts w:ascii="Arial" w:cs="Arial" w:eastAsia="Arial" w:hAnsi="Arial"/>
            <w:color w:val="1B2118"/>
            <w:sz w:val="22"/>
            <w:szCs w:val="22"/>
          </w:rPr>
          <w:t xml:space="preserve">21.  Pagina pubblica del Programma</w:t>
        </w:r>
        <w:r>
          <w:rPr>
            <w:rFonts w:ascii="Arial" w:cs="Arial" w:eastAsia="Arial" w:hAnsi="Arial"/>
            <w:color w:val="1B2118"/>
            <w:sz w:val="22"/>
            <w:szCs w:val="22"/>
          </w:rPr>
          <w:tab/>
          <w:t xml:space="preserve">44</w:t>
        </w:r>
      </w:hyperlink>
    </w:p>
    <w:p>
      <w:pPr>
        <w:tabs>
          <w:tab w:val="right" w:pos="9638" w:leader="dot"/>
        </w:tabs>
        <w:spacing w:after="130"/>
      </w:pPr>
      <w:hyperlink w:history="1" w:anchor="cap22">
        <w:r>
          <w:rPr>
            <w:rFonts w:ascii="Arial" w:cs="Arial" w:eastAsia="Arial" w:hAnsi="Arial"/>
            <w:color w:val="1B2118"/>
            <w:sz w:val="22"/>
            <w:szCs w:val="22"/>
          </w:rPr>
          <w:t xml:space="preserve">22.  Documentazione e manuali</w:t>
        </w:r>
        <w:r>
          <w:rPr>
            <w:rFonts w:ascii="Arial" w:cs="Arial" w:eastAsia="Arial" w:hAnsi="Arial"/>
            <w:color w:val="1B2118"/>
            <w:sz w:val="22"/>
            <w:szCs w:val="22"/>
          </w:rPr>
          <w:tab/>
          <w:t xml:space="preserve">45</w:t>
        </w:r>
      </w:hyperlink>
    </w:p>
    <w:p>
      <w:pPr>
        <w:tabs>
          <w:tab w:val="right" w:pos="9638" w:leader="dot"/>
        </w:tabs>
        <w:spacing w:after="130"/>
      </w:pPr>
      <w:hyperlink w:history="1" w:anchor="cap23">
        <w:r>
          <w:rPr>
            <w:rFonts w:ascii="Arial" w:cs="Arial" w:eastAsia="Arial" w:hAnsi="Arial"/>
            <w:color w:val="1B2118"/>
            <w:sz w:val="22"/>
            <w:szCs w:val="22"/>
          </w:rPr>
          <w:t xml:space="preserve">23.  Assistente virtuale</w:t>
        </w:r>
        <w:r>
          <w:rPr>
            <w:rFonts w:ascii="Arial" w:cs="Arial" w:eastAsia="Arial" w:hAnsi="Arial"/>
            <w:color w:val="1B2118"/>
            <w:sz w:val="22"/>
            <w:szCs w:val="22"/>
          </w:rPr>
          <w:tab/>
          <w:t xml:space="preserve">46</w:t>
        </w:r>
      </w:hyperlink>
    </w:p>
    <w:p>
      <w:pPr>
        <w:tabs>
          <w:tab w:val="right" w:pos="9638" w:leader="dot"/>
        </w:tabs>
        <w:spacing w:after="130"/>
      </w:pPr>
      <w:hyperlink w:history="1" w:anchor="cap24">
        <w:r>
          <w:rPr>
            <w:rFonts w:ascii="Arial" w:cs="Arial" w:eastAsia="Arial" w:hAnsi="Arial"/>
            <w:color w:val="1B2118"/>
            <w:sz w:val="22"/>
            <w:szCs w:val="22"/>
          </w:rPr>
          <w:t xml:space="preserve">24.  Manutenzione ed emergenze</w:t>
        </w:r>
        <w:r>
          <w:rPr>
            <w:rFonts w:ascii="Arial" w:cs="Arial" w:eastAsia="Arial" w:hAnsi="Arial"/>
            <w:color w:val="1B2118"/>
            <w:sz w:val="22"/>
            <w:szCs w:val="22"/>
          </w:rPr>
          <w:tab/>
          <w:t xml:space="preserve">47</w:t>
        </w:r>
      </w:hyperlink>
    </w:p>
    <w:p>
      <w:pPr>
        <w:tabs>
          <w:tab w:val="right" w:pos="9638" w:leader="dot"/>
        </w:tabs>
        <w:spacing w:after="130"/>
      </w:pPr>
      <w:hyperlink w:history="1" w:anchor="cap25">
        <w:r>
          <w:rPr>
            <w:rFonts w:ascii="Arial" w:cs="Arial" w:eastAsia="Arial" w:hAnsi="Arial"/>
            <w:color w:val="1B2118"/>
            <w:sz w:val="22"/>
            <w:szCs w:val="22"/>
          </w:rPr>
          <w:t xml:space="preserve">25.  Funzioni in arrivo</w:t>
        </w:r>
        <w:r>
          <w:rPr>
            <w:rFonts w:ascii="Arial" w:cs="Arial" w:eastAsia="Arial" w:hAnsi="Arial"/>
            <w:color w:val="1B2118"/>
            <w:sz w:val="22"/>
            <w:szCs w:val="22"/>
          </w:rPr>
          <w:tab/>
          <w:t xml:space="preserve">48</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possono essere più di uno e hanno tutti accesso completo a tutti i dati. Un Amministratore può nominare altri Amministratori (capitolo «Gestione utenti»). L'</w:t>
      </w: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è luca.moretti@operate.it: nessuno lo può modificare, disattivare o cancellare.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325"/>
        <w:gridCol w:w="1657"/>
        <w:gridCol w:w="1656"/>
      </w:tblGrid>
      <w:tr>
        <w:trPr>
          <w:tblHeader/>
        </w:trPr>
        <w:tc>
          <w:tcPr>
            <w:tcW w:type="dxa" w:w="63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Documentazione (Registro e questo manuale)</w:t>
            </w:r>
          </w:p>
        </w:tc>
        <w:tc>
          <w:tcPr>
            <w:tcW w:type="dxa" w:w="1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w:t>
            </w:r>
          </w:p>
        </w:tc>
        <w:tc>
          <w:tcPr>
            <w:tcW w:type="dxa" w:w="165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i2_ntgne3zdvfzlmfd3iy">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Utenti, Audit, Anagrafiche, Calcolo crediti, Crediti emessi, Reclami, Impostazioni, Documentazione</w:t>
            </w:r>
          </w:p>
        </w:tc>
      </w:tr>
    </w:tbl>
    <w:p>
      <w:pPr>
        <w:spacing w:after="160"/>
      </w:pPr>
    </w:p>
    <w:p>
      <w:pPr>
        <w:spacing w:after="140" w:line="300"/>
      </w:pPr>
      <w:r>
        <w:rPr>
          <w:rFonts w:ascii="Arial" w:cs="Arial" w:eastAsia="Arial" w:hAnsi="Arial"/>
          <w:b/>
          <w:bCs/>
          <w:color w:val="1B2118"/>
          <w:sz w:val="21"/>
          <w:szCs w:val="21"/>
        </w:rPr>
        <w:t xml:space="preserve">Ordinare tabelle ed elenchi.</w:t>
      </w:r>
      <w:r>
        <w:rPr>
          <w:rFonts w:ascii="Arial" w:cs="Arial" w:eastAsia="Arial" w:hAnsi="Arial"/>
          <w:color w:val="1B2118"/>
          <w:sz w:val="21"/>
          <w:szCs w:val="21"/>
        </w:rPr>
        <w:t xml:space="preserve"> Ogni tabella del portale si ordina per qualsiasi colonna: fate clic sull'intestazione per l'ordine crescente (freccia ▲) e di nuovo per il decrescente (▼); le colonne non ordinate mostrano ↕. Vale per Dashboard, Audit, Calcolo crediti, Registro dei crediti, Simulatore (scenari, risultati, costi e parte economica) e per le tabelle del calcolo. Gli elenchi a schede (Pratiche, Utenti, Organizzazioni, Enti di Validazione, Registri, Reclami, Crediti emessi, documenti, pagamenti e Rapporti di una pratica) hanno in alto il menu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con il pulsante ▲/▼ del verso; «ordine predefinito» torna all'ordine iniziale. I valori vuoti restano sempre in fondo. Le tabelle in cui si inseriscono i dati anno per anno restano in ordine di anno.</w:t>
      </w: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Dashboard</w:t>
      </w:r>
      <w:bookmarkEnd w:id="1"/>
    </w:p>
    <w:p>
      <w:pPr>
        <w:spacing w:after="140" w:line="30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Dashboard</w:t>
      </w:r>
      <w:r>
        <w:rPr>
          <w:rFonts w:ascii="Arial" w:cs="Arial" w:eastAsia="Arial" w:hAnsi="Arial"/>
          <w:color w:val="1B2118"/>
          <w:sz w:val="21"/>
          <w:szCs w:val="21"/>
        </w:rPr>
        <w:t xml:space="preserve"> è la pagina iniziale dello staff: mostra in un'unica tabella tutte le pratiche, Progetti e Rapporti, con l'avanzamento, la fase corrente, la scadenza e ciò che c'è da fare.</w:t>
      </w:r>
    </w:p>
    <w:p>
      <w:pPr>
        <w:spacing w:after="140" w:line="300"/>
      </w:pPr>
      <w:r>
        <w:rPr>
          <w:rFonts w:ascii="Arial" w:cs="Arial" w:eastAsia="Arial" w:hAnsi="Arial"/>
          <w:b/>
          <w:bCs/>
          <w:color w:val="1B2118"/>
          <w:sz w:val="21"/>
          <w:szCs w:val="21"/>
        </w:rPr>
        <w:t xml:space="preserve">Barra di avanzamento a LED.</w:t>
      </w:r>
      <w:r>
        <w:rPr>
          <w:rFonts w:ascii="Arial" w:cs="Arial" w:eastAsia="Arial" w:hAnsi="Arial"/>
          <w:color w:val="1B2118"/>
          <w:sz w:val="21"/>
          <w:szCs w:val="21"/>
        </w:rPr>
        <w:t xml:space="preserve"> La colonna </w:t>
      </w:r>
      <w:r>
        <w:rPr>
          <w:rFonts w:ascii="Arial" w:cs="Arial" w:eastAsia="Arial" w:hAnsi="Arial"/>
          <w:b/>
          <w:bCs/>
          <w:color w:val="1B2118"/>
          <w:sz w:val="21"/>
          <w:szCs w:val="21"/>
        </w:rPr>
        <w:t xml:space="preserve">Avanzamento</w:t>
      </w:r>
      <w:r>
        <w:rPr>
          <w:rFonts w:ascii="Arial" w:cs="Arial" w:eastAsia="Arial" w:hAnsi="Arial"/>
          <w:color w:val="1B2118"/>
          <w:sz w:val="21"/>
          <w:szCs w:val="21"/>
        </w:rPr>
        <w:t xml:space="preserve"> mostra per ogni pratica (quindi per ogni Comune) una barra di 7 luci, una per fase. Le fasi </w:t>
      </w:r>
      <w:r>
        <w:rPr>
          <w:rFonts w:ascii="Arial" w:cs="Arial" w:eastAsia="Arial" w:hAnsi="Arial"/>
          <w:b/>
          <w:bCs/>
          <w:color w:val="1B2118"/>
          <w:sz w:val="21"/>
          <w:szCs w:val="21"/>
        </w:rPr>
        <w:t xml:space="preserve">completate sono accese</w:t>
      </w:r>
      <w:r>
        <w:rPr>
          <w:rFonts w:ascii="Arial" w:cs="Arial" w:eastAsia="Arial" w:hAnsi="Arial"/>
          <w:color w:val="1B2118"/>
          <w:sz w:val="21"/>
          <w:szCs w:val="21"/>
        </w:rPr>
        <w:t xml:space="preserve"> (ambra), quelle </w:t>
      </w:r>
      <w:r>
        <w:rPr>
          <w:rFonts w:ascii="Arial" w:cs="Arial" w:eastAsia="Arial" w:hAnsi="Arial"/>
          <w:b/>
          <w:bCs/>
          <w:color w:val="1B2118"/>
          <w:sz w:val="21"/>
          <w:szCs w:val="21"/>
        </w:rPr>
        <w:t xml:space="preserve">ancora da fare sono spente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settima luce</w:t>
      </w:r>
      <w:r>
        <w:rPr>
          <w:rFonts w:ascii="Arial" w:cs="Arial" w:eastAsia="Arial" w:hAnsi="Arial"/>
          <w:color w:val="1B2118"/>
          <w:sz w:val="21"/>
          <w:szCs w:val="21"/>
        </w:rPr>
        <w:t xml:space="preserve">, la Chiusura, si accende in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La fase in corso è spenta ma ha un contorno ambra, così si vede subito dove è arrivata la pratica. Accanto c'è il conteggio, ad esempio «4/7». Passando il mouse su una luce compaiono numero, nome e stato della fase.</w:t>
      </w:r>
    </w:p>
    <w:p>
      <w:pPr>
        <w:spacing w:after="140" w:line="300"/>
      </w:pPr>
      <w:r>
        <w:rPr>
          <w:rFonts w:ascii="Arial" w:cs="Arial" w:eastAsia="Arial" w:hAnsi="Arial"/>
          <w:b/>
          <w:bCs/>
          <w:color w:val="1B2118"/>
          <w:sz w:val="21"/>
          <w:szCs w:val="21"/>
        </w:rPr>
        <w:t xml:space="preserve">Riquadri in alto.</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18"/>
        <w:gridCol w:w="6720"/>
      </w:tblGrid>
      <w:tr>
        <w:trPr>
          <w:tblHeader/>
        </w:trPr>
        <w:tc>
          <w:tcPr>
            <w:tcW w:type="dxa" w:w="29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7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si possono completare dopo.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Nella Dashboard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Dopo la data di chiusura il portale non accetta più osservazioni, ma lo stato va chiuso a mano con </w:t>
      </w:r>
      <w:r>
        <w:rPr>
          <w:rFonts w:ascii="Arial" w:cs="Arial" w:eastAsia="Arial" w:hAnsi="Arial"/>
          <w:b/>
          <w:bCs/>
          <w:color w:val="1B2118"/>
          <w:sz w:val="21"/>
          <w:szCs w:val="21"/>
        </w:rPr>
        <w:t xml:space="preserve">Chiudi il feedback pubblico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Amministratore</w:t>
      </w:r>
      <w:r>
        <w:rPr>
          <w:rFonts w:ascii="Arial" w:cs="Arial" w:eastAsia="Arial" w:hAnsi="Arial"/>
          <w:color w:val="1B2118"/>
          <w:sz w:val="21"/>
          <w:szCs w:val="21"/>
        </w:rPr>
        <w:t xml:space="preserve">. Scegliendo Amministratore compare un promemoria: avrà accesso completo a tutti i dati e alla gestione utenti; assegnate questo ruolo solo a persone della Fondazione.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Il portale </w:t>
      </w:r>
      <w:r>
        <w:rPr>
          <w:rFonts w:ascii="Arial" w:cs="Arial" w:eastAsia="Arial" w:hAnsi="Arial"/>
          <w:b/>
          <w:bCs/>
          <w:color w:val="1B2118"/>
          <w:sz w:val="21"/>
          <w:szCs w:val="21"/>
        </w:rPr>
        <w:t xml:space="preserve">invia all'utente un'email</w:t>
      </w:r>
      <w:r>
        <w:rPr>
          <w:rFonts w:ascii="Arial" w:cs="Arial" w:eastAsia="Arial" w:hAnsi="Arial"/>
          <w:color w:val="1B2118"/>
          <w:sz w:val="21"/>
          <w:szCs w:val="21"/>
        </w:rPr>
        <w:t xml:space="preserve"> con l'indirizzo del portale, l'email di accesso e la password temporanea, ricordando che al primo accesso dovrà sceglierne una personale. La finestra dice se l'email è partita («✉ Email … inviata a …»). Se non è partita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con il motivo: l'utente è comunque creato, e la password va comunicata a mano con un canale sicuro, ad esempio per telefono.</w:t>
      </w:r>
    </w:p>
    <w:p>
      <w:pPr>
        <w:spacing w:after="60"/>
      </w:pPr>
    </w:p>
    <w:p>
      <w:pPr>
        <w:spacing w:after="140" w:line="300"/>
      </w:pPr>
      <w:r>
        <w:rPr>
          <w:rFonts w:ascii="Arial" w:cs="Arial" w:eastAsia="Arial" w:hAnsi="Arial"/>
          <w:b/>
          <w:bCs/>
          <w:color w:val="1B2118"/>
          <w:sz w:val="21"/>
          <w:szCs w:val="21"/>
        </w:rPr>
        <w:t xml:space="preserve">Limite attuale delle email.</w:t>
      </w:r>
      <w:r>
        <w:rPr>
          <w:rFonts w:ascii="Arial" w:cs="Arial" w:eastAsia="Arial" w:hAnsi="Arial"/>
          <w:color w:val="1B2118"/>
          <w:sz w:val="21"/>
          <w:szCs w:val="21"/>
        </w:rPr>
        <w:t xml:space="preserve"> Finché il dominio della Fondazione non è verificato su Resend, le email partono dal mittente di prova e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 per tutti gli altri compare «Email non inviata (Resend 403 …)». Dopo la verifica del dominio e l'impostazione del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le email arrivano a tutti.</w:t>
      </w: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o ad Amministratore le associazioni alle organizzazioni si azzerano. Con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si nomina Amministratore un utente esistente, o si riporta un Amministratore a Operatore.</w:t>
      </w:r>
    </w:p>
    <w:p>
      <w:pPr>
        <w:spacing w:after="140" w:line="300"/>
      </w:pPr>
      <w:r>
        <w:rPr>
          <w:rFonts w:ascii="Arial" w:cs="Arial" w:eastAsia="Arial" w:hAnsi="Arial"/>
          <w:b/>
          <w:bCs/>
          <w:color w:val="1B2118"/>
          <w:sz w:val="21"/>
          <w:szCs w:val="21"/>
        </w:rPr>
        <w:t xml:space="preserve">Eliminare un utente mai attivo.</w:t>
      </w:r>
      <w:r>
        <w:rPr>
          <w:rFonts w:ascii="Arial" w:cs="Arial" w:eastAsia="Arial" w:hAnsi="Arial"/>
          <w:color w:val="1B2118"/>
          <w:sz w:val="21"/>
          <w:szCs w:val="21"/>
        </w:rPr>
        <w:t xml:space="preserve"> Il pulsante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compare solo sugli utenti che </w:t>
      </w:r>
      <w:r>
        <w:rPr>
          <w:rFonts w:ascii="Arial" w:cs="Arial" w:eastAsia="Arial" w:hAnsi="Arial"/>
          <w:b/>
          <w:bCs/>
          <w:color w:val="1B2118"/>
          <w:sz w:val="21"/>
          <w:szCs w:val="21"/>
        </w:rPr>
        <w:t xml:space="preserve">non hanno mai operato nel portale</w:t>
      </w:r>
      <w:r>
        <w:rPr>
          <w:rFonts w:ascii="Arial" w:cs="Arial" w:eastAsia="Arial" w:hAnsi="Arial"/>
          <w:color w:val="1B2118"/>
          <w:sz w:val="21"/>
          <w:szCs w:val="21"/>
        </w:rPr>
        <w:t xml:space="preserve">, cioè che non compaiono come autori di nessuna voce dell'audit trail. Basta anche il cambio della password al primo accesso perché l'utente risulti attivo. Serve, ad esempio, per un account creato per errore o con l'email sbagliata.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nella riga dell'utente.</w:t>
      </w:r>
    </w:p>
    <w:p>
      <w:pPr>
        <w:pStyle w:val="ListParagraph"/>
        <w:numPr>
          <w:ilvl w:val="0"/>
          <w:numId w:val="18"/>
        </w:numPr>
        <w:spacing w:after="70" w:line="290"/>
      </w:pPr>
      <w:r>
        <w:rPr>
          <w:rFonts w:ascii="Arial" w:cs="Arial" w:eastAsia="Arial" w:hAnsi="Arial"/>
          <w:color w:val="1B2118"/>
          <w:sz w:val="21"/>
          <w:szCs w:val="21"/>
        </w:rPr>
        <w:t xml:space="preserve">Leggete l'avviso e premete </w:t>
      </w:r>
      <w:r>
        <w:rPr>
          <w:rFonts w:ascii="Arial" w:cs="Arial" w:eastAsia="Arial" w:hAnsi="Arial"/>
          <w:b/>
          <w:bCs/>
          <w:color w:val="1B2118"/>
          <w:sz w:val="21"/>
          <w:szCs w:val="21"/>
        </w:rPr>
        <w:t xml:space="preserve">Elimina definitivamente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Annulla</w:t>
      </w:r>
      <w:r>
        <w:rPr>
          <w:rFonts w:ascii="Arial" w:cs="Arial" w:eastAsia="Arial" w:hAnsi="Arial"/>
          <w:color w:val="1B2118"/>
          <w:sz w:val="21"/>
          <w:szCs w:val="21"/>
        </w:rPr>
        <w:t xml:space="preserve"> non succede nulla.</w:t>
      </w:r>
    </w:p>
    <w:p>
      <w:pPr>
        <w:spacing w:after="60"/>
      </w:pPr>
    </w:p>
    <w:p>
      <w:pPr>
        <w:spacing w:after="140" w:line="300"/>
      </w:pPr>
      <w:r>
        <w:rPr>
          <w:rFonts w:ascii="Arial" w:cs="Arial" w:eastAsia="Arial" w:hAnsi="Arial"/>
          <w:color w:val="1B2118"/>
          <w:sz w:val="21"/>
          <w:szCs w:val="21"/>
        </w:rPr>
        <w:t xml:space="preserve">Si cancellano l'account, il profilo e le associazioni alle organizzazioni; nell'audit resta la voce «cancellazione profilo» con il vostro nome. L'operazione non si può annullare. Non si possono eliminare sé stessi né l'Amministratore principale. Chi ha già operato si può solo </w:t>
      </w:r>
      <w:r>
        <w:rPr>
          <w:rFonts w:ascii="Arial" w:cs="Arial" w:eastAsia="Arial" w:hAnsi="Arial"/>
          <w:b/>
          <w:bCs/>
          <w:color w:val="1B2118"/>
          <w:sz w:val="21"/>
          <w:szCs w:val="21"/>
        </w:rPr>
        <w:t xml:space="preserve">disattivare</w:t>
      </w:r>
      <w:r>
        <w:rPr>
          <w:rFonts w:ascii="Arial" w:cs="Arial" w:eastAsia="Arial" w:hAnsi="Arial"/>
          <w:color w:val="1B2118"/>
          <w:sz w:val="21"/>
          <w:szCs w:val="21"/>
        </w:rPr>
        <w:t xml:space="preserve">, così la sua storia resta nell'audit.</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Non si può disattivare sé stessi. Si può disattivare anche un altro Amministratore.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9"/>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9"/>
        </w:numPr>
        <w:spacing w:after="70" w:line="290"/>
      </w:pPr>
      <w:r>
        <w:rPr>
          <w:rFonts w:ascii="Arial" w:cs="Arial" w:eastAsia="Arial" w:hAnsi="Arial"/>
          <w:color w:val="1B2118"/>
          <w:sz w:val="21"/>
          <w:szCs w:val="21"/>
        </w:rPr>
        <w:t xml:space="preserve">Il portale invia all'utente un'email con la nuova password temporanea e dice se è partita. Se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comunicate la password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La riga di luca.moretti@operate.it ha il segno </w:t>
      </w:r>
      <w:r>
        <w:rPr>
          <w:rFonts w:ascii="Arial" w:cs="Arial" w:eastAsia="Arial" w:hAnsi="Arial"/>
          <w:b/>
          <w:bCs/>
          <w:color w:val="1B2118"/>
          <w:sz w:val="21"/>
          <w:szCs w:val="21"/>
        </w:rPr>
        <w:t xml:space="preserve">Principale</w:t>
      </w:r>
      <w:r>
        <w:rPr>
          <w:rFonts w:ascii="Arial" w:cs="Arial" w:eastAsia="Arial" w:hAnsi="Arial"/>
          <w:color w:val="1B2118"/>
          <w:sz w:val="21"/>
          <w:szCs w:val="21"/>
        </w:rPr>
        <w:t xml:space="preserve"> e nessun pulsante: nessun Amministratore la può modificare, declassare, disattivare o cancellare. Lo impedisce il database (script 29), non solo la pagina: nemmeno dal pannello </w:t>
      </w:r>
      <w:r>
        <w:rPr>
          <w:rFonts w:ascii="Arial" w:cs="Arial" w:eastAsia="Arial" w:hAnsi="Arial"/>
          <w:i/>
          <w:iCs/>
          <w:color w:val="1B2118"/>
          <w:sz w:val="21"/>
          <w:szCs w:val="21"/>
        </w:rPr>
        <w:t xml:space="preserve">Authentication</w:t>
      </w:r>
      <w:r>
        <w:rPr>
          <w:rFonts w:ascii="Arial" w:cs="Arial" w:eastAsia="Arial" w:hAnsi="Arial"/>
          <w:color w:val="1B2118"/>
          <w:sz w:val="21"/>
          <w:szCs w:val="21"/>
        </w:rPr>
        <w:t xml:space="preserve"> di Supabase si può cancellare l'account. In caso di reale necessità la protezione si toglie solo dal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di Supabase, con le istruzioni in fondo allo script 29.</w:t>
      </w:r>
    </w:p>
    <w:p>
      <w:pPr>
        <w:spacing w:after="140" w:line="300"/>
      </w:pPr>
      <w:r>
        <w:rPr>
          <w:rFonts w:ascii="Arial" w:cs="Arial" w:eastAsia="Arial" w:hAnsi="Arial"/>
          <w:b/>
          <w:bCs/>
          <w:color w:val="1B2118"/>
          <w:sz w:val="21"/>
          <w:szCs w:val="21"/>
        </w:rPr>
        <w:t xml:space="preserve">Utenti online (solo Amministratore principale).</w:t>
      </w:r>
      <w:r>
        <w:rPr>
          <w:rFonts w:ascii="Arial" w:cs="Arial" w:eastAsia="Arial" w:hAnsi="Arial"/>
          <w:color w:val="1B2118"/>
          <w:sz w:val="21"/>
          <w:szCs w:val="21"/>
        </w:rPr>
        <w:t xml:space="preserve"> Nell'intestazione, accanto alla campanella, l'Amministratore principale vede il pulsante </w:t>
      </w:r>
      <w:r>
        <w:rPr>
          <w:rFonts w:ascii="Arial" w:cs="Arial" w:eastAsia="Arial" w:hAnsi="Arial"/>
          <w:b/>
          <w:bCs/>
          <w:color w:val="1B2118"/>
          <w:sz w:val="21"/>
          <w:szCs w:val="21"/>
        </w:rPr>
        <w:t xml:space="preserve">● n online</w:t>
      </w:r>
      <w:r>
        <w:rPr>
          <w:rFonts w:ascii="Arial" w:cs="Arial" w:eastAsia="Arial" w:hAnsi="Arial"/>
          <w:color w:val="1B2118"/>
          <w:sz w:val="21"/>
          <w:szCs w:val="21"/>
        </w:rPr>
        <w:t xml:space="preserve"> con il numero degli utenti collegati in quel momento. Premendolo si apre l'elenco:</w:t>
      </w:r>
    </w:p>
    <w:p>
      <w:pPr>
        <w:pStyle w:val="ListParagraph"/>
        <w:numPr>
          <w:ilvl w:val="0"/>
          <w:numId w:val="2"/>
        </w:numPr>
        <w:spacing w:after="70" w:line="290"/>
      </w:pPr>
      <w:r>
        <w:rPr>
          <w:rFonts w:ascii="Arial" w:cs="Arial" w:eastAsia="Arial" w:hAnsi="Arial"/>
          <w:b/>
          <w:bCs/>
          <w:color w:val="1B2118"/>
          <w:sz w:val="21"/>
          <w:szCs w:val="21"/>
        </w:rPr>
        <w:t xml:space="preserve">online adesso</w:t>
      </w:r>
      <w:r>
        <w:rPr>
          <w:rFonts w:ascii="Arial" w:cs="Arial" w:eastAsia="Arial" w:hAnsi="Arial"/>
          <w:color w:val="1B2118"/>
          <w:sz w:val="21"/>
          <w:szCs w:val="21"/>
        </w:rPr>
        <w:t xml:space="preserve">: nome o email, ruolo, organizzazione, pagina aperta e da quanto tempo è collegato;</w:t>
      </w:r>
    </w:p>
    <w:p>
      <w:pPr>
        <w:pStyle w:val="ListParagraph"/>
        <w:numPr>
          <w:ilvl w:val="0"/>
          <w:numId w:val="2"/>
        </w:numPr>
        <w:spacing w:after="70" w:line="290"/>
      </w:pPr>
      <w:r>
        <w:rPr>
          <w:rFonts w:ascii="Arial" w:cs="Arial" w:eastAsia="Arial" w:hAnsi="Arial"/>
          <w:b/>
          <w:bCs/>
          <w:color w:val="1B2118"/>
          <w:sz w:val="21"/>
          <w:szCs w:val="21"/>
        </w:rPr>
        <w:t xml:space="preserve">visti nelle ultime 24 ore</w:t>
      </w:r>
      <w:r>
        <w:rPr>
          <w:rFonts w:ascii="Arial" w:cs="Arial" w:eastAsia="Arial" w:hAnsi="Arial"/>
          <w:color w:val="1B2118"/>
          <w:sz w:val="21"/>
          <w:szCs w:val="21"/>
        </w:rPr>
        <w:t xml:space="preserve">: chi è stato collegato di recente, con l'ora dell'ultimo accesso.</w:t>
      </w:r>
    </w:p>
    <w:p>
      <w:pPr>
        <w:spacing w:after="140" w:line="300"/>
      </w:pPr>
      <w:r>
        <w:rPr>
          <w:rFonts w:ascii="Arial" w:cs="Arial" w:eastAsia="Arial" w:hAnsi="Arial"/>
          <w:color w:val="1B2118"/>
          <w:sz w:val="21"/>
          <w:szCs w:val="21"/>
        </w:rPr>
        <w:t xml:space="preserve">Un utente risulta online se ha una pagina del portale aperta e visibile nell'ultimo paio di minuti: il portale lo segnala da solo a ogni cambio di pagina e una volta al minuto. Con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non risulta più online; chiudendo la finestra senza uscire sparisce dopo circa 2 minuti. L'elenco si aggiorna ogni 30 secondi. Si conserva solo l'ultimo collegamento di ciascun utente (nessuno storico, nessun indirizzo IP) e gli altri Amministratori non vedono né il pulsante né i dati: lo controlla il database (script 32). Gli utenti ne sono informati nel Manuale Utente.</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Nessuno può cambiare il proprio ruolo né disattivare sé stesso. La password di un Amministratore non si reimposta dalla pagina Utenti: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 motivazione.</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2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20"/>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1"/>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2"/>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sei sezioni: Il Programma (pagina pubblica), metodologie approvate,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4"/>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4"/>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5"/>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6"/>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27"/>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28"/>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2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29"/>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29"/>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29"/>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30"/>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(attivo solo se gli scostamenti oltre il 30% sono motivati).</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1"/>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1"/>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metodo di stima dei crediti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e note sulle ipotesi.</w:t>
      </w:r>
    </w:p>
    <w:p>
      <w:pPr>
        <w:spacing w:after="140" w:line="300"/>
      </w:pPr>
      <w:r>
        <w:rPr>
          <w:rFonts w:ascii="Arial" w:cs="Arial" w:eastAsia="Arial" w:hAnsi="Arial"/>
          <w:b/>
          <w:bCs/>
          <w:color w:val="1B2118"/>
          <w:sz w:val="21"/>
          <w:szCs w:val="21"/>
        </w:rPr>
        <w:t xml:space="preserve">Metodo di stima.</w:t>
      </w:r>
      <w:r>
        <w:rPr>
          <w:rFonts w:ascii="Arial" w:cs="Arial" w:eastAsia="Arial" w:hAnsi="Arial"/>
          <w:color w:val="1B2118"/>
          <w:sz w:val="21"/>
          <w:szCs w:val="21"/>
        </w:rPr>
        <w:t xml:space="preserve"> Si sceglie tra due metodi, entrambi previsti dalla formula 32 della Metodologia:</w:t>
      </w:r>
    </w:p>
    <w:p>
      <w:pPr>
        <w:pStyle w:val="ListParagraph"/>
        <w:numPr>
          <w:ilvl w:val="0"/>
          <w:numId w:val="2"/>
        </w:numPr>
        <w:spacing w:after="70" w:line="290"/>
      </w:pPr>
      <w:r>
        <w:rPr>
          <w:rFonts w:ascii="Arial" w:cs="Arial" w:eastAsia="Arial" w:hAnsi="Arial"/>
          <w:b/>
          <w:bCs/>
          <w:color w:val="1B2118"/>
          <w:sz w:val="21"/>
          <w:szCs w:val="21"/>
        </w:rPr>
        <w:t xml:space="preserve">Bilancio del Comune (tutte le utenze insieme).</w:t>
      </w:r>
      <w:r>
        <w:rPr>
          <w:rFonts w:ascii="Arial" w:cs="Arial" w:eastAsia="Arial" w:hAnsi="Arial"/>
          <w:color w:val="1B2118"/>
          <w:sz w:val="21"/>
          <w:szCs w:val="21"/>
        </w:rPr>
        <w:t xml:space="preserve"> Confronta i totali del Comune con lo scenario di riferimento: le utenze che peggiorano compensano quelle che migliorano, quindi i crediti nascono solo dai rifiuti evitati in totale. È la stima più prudente.</w:t>
      </w:r>
    </w:p>
    <w:p>
      <w:pPr>
        <w:pStyle w:val="ListParagraph"/>
        <w:numPr>
          <w:ilvl w:val="0"/>
          <w:numId w:val="2"/>
        </w:numPr>
        <w:spacing w:after="70" w:line="290"/>
      </w:pPr>
      <w:r>
        <w:rPr>
          <w:rFonts w:ascii="Arial" w:cs="Arial" w:eastAsia="Arial" w:hAnsi="Arial"/>
          <w:b/>
          <w:bCs/>
          <w:color w:val="1B2118"/>
          <w:sz w:val="21"/>
          <w:szCs w:val="21"/>
        </w:rPr>
        <w:t xml:space="preserve">Per utenza: solo utenze virtuose (con buffer).</w:t>
      </w:r>
      <w:r>
        <w:rPr>
          <w:rFonts w:ascii="Arial" w:cs="Arial" w:eastAsia="Arial" w:hAnsi="Arial"/>
          <w:color w:val="1B2118"/>
          <w:sz w:val="21"/>
          <w:szCs w:val="21"/>
        </w:rPr>
        <w:t xml:space="preserve"> Contano solo le utenze che producono meno del valore atteso, per i rifiuti misurati per utenza (ad esempio secco e organico con la tariffa puntuale); i debiti delle altre li copre il buffer. È il metodo delle stime dell'Allegato A dei contratti tipo EsaCom. Senza Banca Dati Utenze la differenza tra le utenze si rappresenta con la </w:t>
      </w:r>
      <w:r>
        <w:rPr>
          <w:rFonts w:ascii="Arial" w:cs="Arial" w:eastAsia="Arial" w:hAnsi="Arial"/>
          <w:b/>
          <w:bCs/>
          <w:color w:val="1B2118"/>
          <w:sz w:val="21"/>
          <w:szCs w:val="21"/>
        </w:rPr>
        <w:t xml:space="preserve">variabilità tra utenze</w:t>
      </w:r>
      <w:r>
        <w:rPr>
          <w:rFonts w:ascii="Arial" w:cs="Arial" w:eastAsia="Arial" w:hAnsi="Arial"/>
          <w:color w:val="1B2118"/>
          <w:sz w:val="21"/>
          <w:szCs w:val="21"/>
        </w:rPr>
        <w:t xml:space="preserve"> (proposta 30%): è un'ipotesi, da tarare sui dati reali del gestore.</w:t>
      </w:r>
    </w:p>
    <w:p>
      <w:pPr>
        <w:spacing w:after="140" w:line="300"/>
      </w:pPr>
      <w:r>
        <w:rPr>
          <w:rFonts w:ascii="Arial" w:cs="Arial" w:eastAsia="Arial" w:hAnsi="Arial"/>
          <w:color w:val="1B2118"/>
          <w:sz w:val="21"/>
          <w:szCs w:val="21"/>
        </w:rPr>
        <w:t xml:space="preserve">Nel riquadro sotto si indicano i </w:t>
      </w:r>
      <w:r>
        <w:rPr>
          <w:rFonts w:ascii="Arial" w:cs="Arial" w:eastAsia="Arial" w:hAnsi="Arial"/>
          <w:b/>
          <w:bCs/>
          <w:color w:val="1B2118"/>
          <w:sz w:val="21"/>
          <w:szCs w:val="21"/>
        </w:rPr>
        <w:t xml:space="preserve">rifiuti misurati per utenza</w:t>
      </w:r>
      <w:r>
        <w:rPr>
          <w:rFonts w:ascii="Arial" w:cs="Arial" w:eastAsia="Arial" w:hAnsi="Arial"/>
          <w:color w:val="1B2118"/>
          <w:sz w:val="21"/>
          <w:szCs w:val="21"/>
        </w:rPr>
        <w:t xml:space="preserve"> (Tabella 16), le </w:t>
      </w:r>
      <w:r>
        <w:rPr>
          <w:rFonts w:ascii="Arial" w:cs="Arial" w:eastAsia="Arial" w:hAnsi="Arial"/>
          <w:b/>
          <w:bCs/>
          <w:color w:val="1B2118"/>
          <w:sz w:val="21"/>
          <w:szCs w:val="21"/>
        </w:rPr>
        <w:t xml:space="preserve">utenze monitorate</w:t>
      </w:r>
      <w:r>
        <w:rPr>
          <w:rFonts w:ascii="Arial" w:cs="Arial" w:eastAsia="Arial" w:hAnsi="Arial"/>
          <w:color w:val="1B2118"/>
          <w:sz w:val="21"/>
          <w:szCs w:val="21"/>
        </w:rPr>
        <w:t xml:space="preserve"> (Tabella 15) e se sono attive la </w:t>
      </w:r>
      <w:r>
        <w:rPr>
          <w:rFonts w:ascii="Arial" w:cs="Arial" w:eastAsia="Arial" w:hAnsi="Arial"/>
          <w:b/>
          <w:bCs/>
          <w:color w:val="1B2118"/>
          <w:sz w:val="21"/>
          <w:szCs w:val="21"/>
        </w:rPr>
        <w:t xml:space="preserve">tariffa puntuale</w:t>
      </w:r>
      <w:r>
        <w:rPr>
          <w:rFonts w:ascii="Arial" w:cs="Arial" w:eastAsia="Arial" w:hAnsi="Arial"/>
          <w:color w:val="1B2118"/>
          <w:sz w:val="21"/>
          <w:szCs w:val="21"/>
        </w:rPr>
        <w:t xml:space="preserve">, la misura ai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 (−2%) e la misura di ingombranti, verde o indumenti (−1%). Il portale mostra il </w:t>
      </w:r>
      <w:r>
        <w:rPr>
          <w:rFonts w:ascii="Arial" w:cs="Arial" w:eastAsia="Arial" w:hAnsi="Arial"/>
          <w:b/>
          <w:bCs/>
          <w:color w:val="1B2118"/>
          <w:sz w:val="21"/>
          <w:szCs w:val="21"/>
        </w:rPr>
        <w:t xml:space="preserve">buffer secondo il Capitolo 7</w:t>
      </w:r>
      <w:r>
        <w:rPr>
          <w:rFonts w:ascii="Arial" w:cs="Arial" w:eastAsia="Arial" w:hAnsi="Arial"/>
          <w:color w:val="1B2118"/>
          <w:sz w:val="21"/>
          <w:szCs w:val="21"/>
        </w:rPr>
        <w:t xml:space="preserve"> con le voci che lo compongono: 20% se si contano solo le utenze virtuose, più le Tabelle 15 e 16, con la parte della Tabella 16 dimezzata dalla tariffa puntuale, al massimo 80%. </w:t>
      </w:r>
      <w:r>
        <w:rPr>
          <w:rFonts w:ascii="Arial" w:cs="Arial" w:eastAsia="Arial" w:hAnsi="Arial"/>
          <w:b/>
          <w:bCs/>
          <w:color w:val="1B2118"/>
          <w:sz w:val="21"/>
          <w:szCs w:val="21"/>
        </w:rPr>
        <w:t xml:space="preserve">Usa questo buffer</w:t>
      </w:r>
      <w:r>
        <w:rPr>
          <w:rFonts w:ascii="Arial" w:cs="Arial" w:eastAsia="Arial" w:hAnsi="Arial"/>
          <w:color w:val="1B2118"/>
          <w:sz w:val="21"/>
          <w:szCs w:val="21"/>
        </w:rPr>
        <w:t xml:space="preserve"> lo applica allo scenario. Se il buffer impostato è più basso del minimo, i Risultati lo segnalano.</w:t>
      </w:r>
    </w:p>
    <w:p>
      <w:pPr>
        <w:spacing w:after="140" w:line="300"/>
      </w:pPr>
      <w:r>
        <w:rPr>
          <w:rFonts w:ascii="Arial" w:cs="Arial" w:eastAsia="Arial" w:hAnsi="Arial"/>
          <w:b/>
          <w:bCs/>
          <w:color w:val="1B2118"/>
          <w:sz w:val="21"/>
          <w:szCs w:val="21"/>
        </w:rPr>
        <w:t xml:space="preserve">Taratura.</w:t>
      </w:r>
      <w:r>
        <w:rPr>
          <w:rFonts w:ascii="Arial" w:cs="Arial" w:eastAsia="Arial" w:hAnsi="Arial"/>
          <w:color w:val="1B2118"/>
          <w:sz w:val="21"/>
          <w:szCs w:val="21"/>
        </w:rPr>
        <w:t xml:space="preserve"> Con il metodo per utenza si può scrivere un valore di crediti netti per abitante all'anno da riprodurre (ad esempio 0,19 di una stima già fatta) e premere </w:t>
      </w:r>
      <w:r>
        <w:rPr>
          <w:rFonts w:ascii="Arial" w:cs="Arial" w:eastAsia="Arial" w:hAnsi="Arial"/>
          <w:b/>
          <w:bCs/>
          <w:color w:val="1B2118"/>
          <w:sz w:val="21"/>
          <w:szCs w:val="21"/>
        </w:rPr>
        <w:t xml:space="preserve">Trova la variabilità</w:t>
      </w:r>
      <w:r>
        <w:rPr>
          <w:rFonts w:ascii="Arial" w:cs="Arial" w:eastAsia="Arial" w:hAnsi="Arial"/>
          <w:color w:val="1B2118"/>
          <w:sz w:val="21"/>
          <w:szCs w:val="21"/>
        </w:rPr>
        <w:t xml:space="preserve">: il portale cerca la variabilità tra utenze che porta a quel risultato con i dati dello scenario.</w:t>
      </w:r>
    </w:p>
    <w:p>
      <w:pPr>
        <w:spacing w:after="140" w:line="300"/>
      </w:pPr>
      <w:r>
        <w:rPr>
          <w:rFonts w:ascii="Arial" w:cs="Arial" w:eastAsia="Arial" w:hAnsi="Arial"/>
          <w:b/>
          <w:bCs/>
          <w:color w:val="1B2118"/>
          <w:sz w:val="21"/>
          <w:szCs w:val="21"/>
        </w:rPr>
        <w:t xml:space="preserve">2. Scenario di riferimento (Standard 4.8.1).</w:t>
      </w:r>
      <w:r>
        <w:rPr>
          <w:rFonts w:ascii="Arial" w:cs="Arial" w:eastAsia="Arial" w:hAnsi="Arial"/>
          <w:color w:val="1B2118"/>
          <w:sz w:val="21"/>
          <w:szCs w:val="21"/>
        </w:rPr>
        <w:t xml:space="preserve"> È la situazione «senza progetto» con cui si confrontano gli obiettivi, come nel Programma. Due modi, scelti con i pulsanti:</w:t>
      </w:r>
    </w:p>
    <w:p>
      <w:pPr>
        <w:pStyle w:val="ListParagraph"/>
        <w:numPr>
          <w:ilvl w:val="0"/>
          <w:numId w:val="2"/>
        </w:numPr>
        <w:spacing w:after="70" w:line="290"/>
      </w:pPr>
      <w:r>
        <w:rPr>
          <w:rFonts w:ascii="Arial" w:cs="Arial" w:eastAsia="Arial" w:hAnsi="Arial"/>
          <w:b/>
          <w:bCs/>
          <w:color w:val="1B2118"/>
          <w:sz w:val="21"/>
          <w:szCs w:val="21"/>
        </w:rPr>
        <w:t xml:space="preserve">Anno con il 65% di differenziata</w:t>
      </w:r>
      <w:r>
        <w:rPr>
          <w:rFonts w:ascii="Arial" w:cs="Arial" w:eastAsia="Arial" w:hAnsi="Arial"/>
          <w:color w:val="1B2118"/>
          <w:sz w:val="21"/>
          <w:szCs w:val="21"/>
        </w:rPr>
        <w:t xml:space="preserve">: l'anno in cui il Comune ha raggiunto l'obiettivo di legge (tra 64% e 66%, dati Catasto ISPRA), con popolazione e rifiuti per tipologia in tonnellate; si compilano a mano o, per gli Amministratori, si importano da un calcolo dei crediti. Se la differenziata dell'anno indicato è fuori dall'intervallo il portale lo segnala (Standard 4.8.1 e addizionalità normativa 4.9.1); se è indicato il cluster, segnala anche le tipologie che si scostano più del 30% dalla Tabella 3 (Gestione della qualità dei dati, 3.1.2);</w:t>
      </w:r>
    </w:p>
    <w:p>
      <w:pPr>
        <w:pStyle w:val="ListParagraph"/>
        <w:numPr>
          <w:ilvl w:val="0"/>
          <w:numId w:val="2"/>
        </w:numPr>
        <w:spacing w:after="70" w:line="290"/>
      </w:pPr>
      <w:r>
        <w:rPr>
          <w:rFonts w:ascii="Arial" w:cs="Arial" w:eastAsia="Arial" w:hAnsi="Arial"/>
          <w:b/>
          <w:bCs/>
          <w:color w:val="1B2118"/>
          <w:sz w:val="21"/>
          <w:szCs w:val="21"/>
        </w:rPr>
        <w:t xml:space="preserve">Valori medi del cluster (Tabella 3)</w:t>
      </w:r>
      <w:r>
        <w:rPr>
          <w:rFonts w:ascii="Arial" w:cs="Arial" w:eastAsia="Arial" w:hAnsi="Arial"/>
          <w:color w:val="1B2118"/>
          <w:sz w:val="21"/>
          <w:szCs w:val="21"/>
        </w:rPr>
        <w:t xml:space="preserve">: quando il Comune non ha un anno con il 65%, si sceglie il cluster SOSE, si indica la popolazione ISPRA 2022 e si preme </w:t>
      </w:r>
      <w:r>
        <w:rPr>
          <w:rFonts w:ascii="Arial" w:cs="Arial" w:eastAsia="Arial" w:hAnsi="Arial"/>
          <w:b/>
          <w:bCs/>
          <w:color w:val="1B2118"/>
          <w:sz w:val="21"/>
          <w:szCs w:val="21"/>
        </w:rPr>
        <w:t xml:space="preserve">Calcola dai valori medi del cluster</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 fattore di emissione del secco (formule 16-17). </w:t>
      </w:r>
      <w:r>
        <w:rPr>
          <w:rFonts w:ascii="Arial" w:cs="Arial" w:eastAsia="Arial" w:hAnsi="Arial"/>
          <w:b/>
          <w:bCs/>
          <w:color w:val="1B2118"/>
          <w:sz w:val="21"/>
          <w:szCs w:val="21"/>
        </w:rPr>
        <w:t xml:space="preserve">Nel calcolo il riferimento è sempre portato alla soglia minima del 65% di differenziata</w:t>
      </w:r>
      <w:r>
        <w:rPr>
          <w:rFonts w:ascii="Arial" w:cs="Arial" w:eastAsia="Arial" w:hAnsi="Arial"/>
          <w:color w:val="1B2118"/>
          <w:sz w:val="21"/>
          <w:szCs w:val="21"/>
        </w:rPr>
        <w:t xml:space="preserve">: stessa produzione totale, secco al 35%. Ogni anno i risultati si calcolano per differenza da questa soglia, e la tabella dei risultati mostra di quanti punti la differenziata supera il 65%. Se i dati inseriti hanno una percentuale diversa, un avviso lo segnala; un altro avviso compare se la produzione pro capite è fuori scala (unità di misura sbagliata).</w:t>
      </w:r>
    </w:p>
    <w:p>
      <w:pPr>
        <w:spacing w:after="140" w:line="300"/>
      </w:pPr>
      <w:r>
        <w:rPr>
          <w:rFonts w:ascii="Arial" w:cs="Arial" w:eastAsia="Arial" w:hAnsi="Arial"/>
          <w:b/>
          <w:bCs/>
          <w:color w:val="1B2118"/>
          <w:sz w:val="21"/>
          <w:szCs w:val="21"/>
        </w:rPr>
        <w:t xml:space="preserve">Situazione attuale (facoltativa).</w:t>
      </w:r>
      <w:r>
        <w:rPr>
          <w:rFonts w:ascii="Arial" w:cs="Arial" w:eastAsia="Arial" w:hAnsi="Arial"/>
          <w:color w:val="1B2118"/>
          <w:sz w:val="21"/>
          <w:szCs w:val="21"/>
        </w:rPr>
        <w:t xml:space="preserve"> L'ultimo anno con dati disponibili (popolazione, produzione pro capite, secco pro capite): è il punto di partenza degli obiettivi e della traiettoria. I crediti si calcolano sempre rispetto allo scenario di riferimento.</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 situazione attuale (o dal riferimento),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riquadro </w:t>
      </w:r>
      <w:r>
        <w:rPr>
          <w:rFonts w:ascii="Arial" w:cs="Arial" w:eastAsia="Arial" w:hAnsi="Arial"/>
          <w:b/>
          <w:bCs/>
          <w:color w:val="1B2118"/>
          <w:sz w:val="21"/>
          <w:szCs w:val="21"/>
        </w:rPr>
        <w:t xml:space="preserve">Per abitante all'anno</w:t>
      </w:r>
      <w:r>
        <w:rPr>
          <w:rFonts w:ascii="Arial" w:cs="Arial" w:eastAsia="Arial" w:hAnsi="Arial"/>
          <w:color w:val="1B2118"/>
          <w:sz w:val="21"/>
          <w:szCs w:val="21"/>
        </w:rPr>
        <w:t xml:space="preserve">: crediti netti medi per abitante, da confrontare con le stime dei contratti (Allegato A EsaCom: 0,19-0,23);</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 con il metodo per utenza anche la colonna </w:t>
      </w:r>
      <w:r>
        <w:rPr>
          <w:rFonts w:ascii="Arial" w:cs="Arial" w:eastAsia="Arial" w:hAnsi="Arial"/>
          <w:b/>
          <w:bCs/>
          <w:color w:val="1B2118"/>
          <w:sz w:val="21"/>
          <w:szCs w:val="21"/>
        </w:rPr>
        <w:t xml:space="preserve">Bilancio del Comune</w:t>
      </w:r>
      <w:r>
        <w:rPr>
          <w:rFonts w:ascii="Arial" w:cs="Arial" w:eastAsia="Arial" w:hAnsi="Arial"/>
          <w:color w:val="1B2118"/>
          <w:sz w:val="21"/>
          <w:szCs w:val="21"/>
        </w:rPr>
        <w:t xml:space="preserve">, per confronto;</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Per consegnare o presentare lo scenario al Comune:</w:t>
      </w:r>
    </w:p>
    <w:p>
      <w:pPr>
        <w:pStyle w:val="ListParagraph"/>
        <w:numPr>
          <w:ilvl w:val="0"/>
          <w:numId w:val="2"/>
        </w:numPr>
        <w:spacing w:after="70" w:line="290"/>
      </w:pPr>
      <w:r>
        <w:rPr>
          <w:rFonts w:ascii="Arial" w:cs="Arial" w:eastAsia="Arial" w:hAnsi="Arial"/>
          <w:b/>
          <w:bCs/>
          <w:color w:val="1B2118"/>
          <w:sz w:val="21"/>
          <w:szCs w:val="21"/>
        </w:rPr>
        <w:t xml:space="preserve">Scarica PDF</w:t>
      </w:r>
      <w:r>
        <w:rPr>
          <w:rFonts w:ascii="Arial" w:cs="Arial" w:eastAsia="Arial" w:hAnsi="Arial"/>
          <w:color w:val="1B2118"/>
          <w:sz w:val="21"/>
          <w:szCs w:val="21"/>
        </w:rPr>
        <w:t xml:space="preserve">: un rapporto impaginato in A4 orizzontale con i loghi, la scheda dello scenario, l'avvertenza «stima ex ante», gli indicatori di sintesi, i crediti anno per anno, la parte economica, i costi del Caso 1 o 2, le note e gli avvisi, con i numeri di pagina;</w:t>
      </w:r>
    </w:p>
    <w:p>
      <w:pPr>
        <w:pStyle w:val="ListParagraph"/>
        <w:numPr>
          <w:ilvl w:val="0"/>
          <w:numId w:val="2"/>
        </w:numPr>
        <w:spacing w:after="70" w:line="290"/>
      </w:pPr>
      <w:r>
        <w:rPr>
          <w:rFonts w:ascii="Arial" w:cs="Arial" w:eastAsia="Arial" w:hAnsi="Arial"/>
          <w:b/>
          <w:bCs/>
          <w:color w:val="1B2118"/>
          <w:sz w:val="21"/>
          <w:szCs w:val="21"/>
        </w:rPr>
        <w:t xml:space="preserve">Esporta Excel</w:t>
      </w:r>
      <w:r>
        <w:rPr>
          <w:rFonts w:ascii="Arial" w:cs="Arial" w:eastAsia="Arial" w:hAnsi="Arial"/>
          <w:color w:val="1B2118"/>
          <w:sz w:val="21"/>
          <w:szCs w:val="21"/>
        </w:rPr>
        <w:t xml:space="preserve">: un file .xlsx con i fogli </w:t>
      </w:r>
      <w:r>
        <w:rPr>
          <w:rFonts w:ascii="Arial" w:cs="Arial" w:eastAsia="Arial" w:hAnsi="Arial"/>
          <w:b/>
          <w:bCs/>
          <w:color w:val="1B2118"/>
          <w:sz w:val="21"/>
          <w:szCs w:val="21"/>
        </w:rPr>
        <w:t xml:space="preserve">Sintesi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Anni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Economia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Costi</w:t>
      </w:r>
      <w:r>
        <w:rPr>
          <w:rFonts w:ascii="Arial" w:cs="Arial" w:eastAsia="Arial" w:hAnsi="Arial"/>
          <w:color w:val="1B2118"/>
          <w:sz w:val="21"/>
          <w:szCs w:val="21"/>
        </w:rPr>
        <w:t xml:space="preserve">; i numeri restano numeri, quindi si possono sommare, ordinare e usare nei grafici;</w:t>
      </w:r>
    </w:p>
    <w:p>
      <w:pPr>
        <w:pStyle w:val="ListParagraph"/>
        <w:numPr>
          <w:ilvl w:val="0"/>
          <w:numId w:val="2"/>
        </w:numPr>
        <w:spacing w:after="70" w:line="290"/>
      </w:pPr>
      <w:r>
        <w:rPr>
          <w:rFonts w:ascii="Arial" w:cs="Arial" w:eastAsia="Arial" w:hAnsi="Arial"/>
          <w:b/>
          <w:bCs/>
          <w:color w:val="1B2118"/>
          <w:sz w:val="21"/>
          <w:szCs w:val="21"/>
        </w:rPr>
        <w:t xml:space="preserve">CSV</w:t>
      </w:r>
      <w:r>
        <w:rPr>
          <w:rFonts w:ascii="Arial" w:cs="Arial" w:eastAsia="Arial" w:hAnsi="Arial"/>
          <w:color w:val="1B2118"/>
          <w:sz w:val="21"/>
          <w:szCs w:val="21"/>
        </w:rPr>
        <w:t xml:space="preserve">: la tabella in formato testo, per altri programmi.</w:t>
      </w:r>
    </w:p>
    <w:p>
      <w:pPr>
        <w:spacing w:after="140" w:line="300"/>
      </w:pPr>
      <w:r>
        <w:rPr>
          <w:rFonts w:ascii="Arial" w:cs="Arial" w:eastAsia="Arial" w:hAnsi="Arial"/>
          <w:color w:val="1B2118"/>
          <w:sz w:val="21"/>
          <w:szCs w:val="21"/>
        </w:rPr>
        <w:t xml:space="preserve">PDF ed Excel contengono le stesse tabelle. Prima di scaricarli salvate lo scenario, così file e portale coincidono.</w:t>
      </w:r>
    </w:p>
    <w:p>
      <w:pPr>
        <w:spacing w:after="140" w:line="300"/>
      </w:pPr>
      <w:r>
        <w:rPr>
          <w:rFonts w:ascii="Arial" w:cs="Arial" w:eastAsia="Arial" w:hAnsi="Arial"/>
          <w:b/>
          <w:bCs/>
          <w:color w:val="1B2118"/>
          <w:sz w:val="21"/>
          <w:szCs w:val="21"/>
        </w:rPr>
        <w:t xml:space="preserve">5. Simulazione economica: ricavi e costi per il Comune.</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valore del credito</w:t>
      </w:r>
      <w:r>
        <w:rPr>
          <w:rFonts w:ascii="Arial" w:cs="Arial" w:eastAsia="Arial" w:hAnsi="Arial"/>
          <w:color w:val="1B2118"/>
          <w:sz w:val="21"/>
          <w:szCs w:val="21"/>
        </w:rPr>
        <w:t xml:space="preserve"> (€ per credito; un credito è una tonnellata di CO₂eq) si digita </w:t>
      </w:r>
      <w:r>
        <w:rPr>
          <w:rFonts w:ascii="Arial" w:cs="Arial" w:eastAsia="Arial" w:hAnsi="Arial"/>
          <w:b/>
          <w:bCs/>
          <w:color w:val="1B2118"/>
          <w:sz w:val="21"/>
          <w:szCs w:val="21"/>
        </w:rPr>
        <w:t xml:space="preserve">anno per anno</w:t>
      </w:r>
      <w:r>
        <w:rPr>
          <w:rFonts w:ascii="Arial" w:cs="Arial" w:eastAsia="Arial" w:hAnsi="Arial"/>
          <w:color w:val="1B2118"/>
          <w:sz w:val="21"/>
          <w:szCs w:val="21"/>
        </w:rPr>
        <w:t xml:space="preserve"> nella colonna «Valore» della tabella. Il portale propone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compilare tutti gli anni insieme indicate il valore proposto e, se volete, una variazione annua, poi premete </w:t>
      </w:r>
      <w:r>
        <w:rPr>
          <w:rFonts w:ascii="Arial" w:cs="Arial" w:eastAsia="Arial" w:hAnsi="Arial"/>
          <w:b/>
          <w:bCs/>
          <w:color w:val="1B2118"/>
          <w:sz w:val="21"/>
          <w:szCs w:val="21"/>
        </w:rPr>
        <w:t xml:space="preserve">Applica a tutti gli anni</w:t>
      </w:r>
      <w:r>
        <w:rPr>
          <w:rFonts w:ascii="Arial" w:cs="Arial" w:eastAsia="Arial" w:hAnsi="Arial"/>
          <w:color w:val="1B2118"/>
          <w:sz w:val="21"/>
          <w:szCs w:val="21"/>
        </w:rPr>
        <w:t xml:space="preserve">; correggete poi i singoli anni. Poi il simulatore chiede: </w:t>
      </w:r>
      <w:r>
        <w:rPr>
          <w:rFonts w:ascii="Arial" w:cs="Arial" w:eastAsia="Arial" w:hAnsi="Arial"/>
          <w:b/>
          <w:bCs/>
          <w:color w:val="1B2118"/>
          <w:sz w:val="21"/>
          <w:szCs w:val="21"/>
        </w:rPr>
        <w:t xml:space="preserve">«Simulare i costi in base al Caso 1 o al Caso 2?»</w:t>
      </w:r>
      <w:r>
        <w:rPr>
          <w:rFonts w:ascii="Arial" w:cs="Arial" w:eastAsia="Arial" w:hAnsi="Arial"/>
          <w:color w:val="1B2118"/>
          <w:sz w:val="21"/>
          <w:szCs w:val="21"/>
        </w:rPr>
        <w:t xml:space="preserve">. Sono le tabelle «Costi per il Soggetto Promotore» di Fondazione Operate (28/07/2026), IVA esclusa, per progetti di 10 anni:</w:t>
      </w:r>
    </w:p>
    <w:p>
      <w:pPr>
        <w:pStyle w:val="ListParagraph"/>
        <w:numPr>
          <w:ilvl w:val="0"/>
          <w:numId w:val="2"/>
        </w:numPr>
        <w:spacing w:after="70" w:line="290"/>
      </w:pP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il Comune o il gestore aderisce di propria iniziativa;</w:t>
      </w:r>
    </w:p>
    <w:p>
      <w:pPr>
        <w:pStyle w:val="ListParagraph"/>
        <w:numPr>
          <w:ilvl w:val="0"/>
          <w:numId w:val="2"/>
        </w:numPr>
        <w:spacing w:after="70" w:line="290"/>
      </w:pPr>
      <w:r>
        <w:rPr>
          <w:rFonts w:ascii="Arial" w:cs="Arial" w:eastAsia="Arial" w:hAnsi="Arial"/>
          <w:b/>
          <w:bCs/>
          <w:color w:val="1B2118"/>
          <w:sz w:val="21"/>
          <w:szCs w:val="21"/>
        </w:rPr>
        <w:t xml:space="preserve">Caso 2 – Progetto obbligatorio</w:t>
      </w:r>
      <w:r>
        <w:rPr>
          <w:rFonts w:ascii="Arial" w:cs="Arial" w:eastAsia="Arial" w:hAnsi="Arial"/>
          <w:color w:val="1B2118"/>
          <w:sz w:val="21"/>
          <w:szCs w:val="21"/>
        </w:rPr>
        <w:t xml:space="preserve">: il progetto arriva da un bando di gara di un Comune che ha inserito il CWP come metodo; le tariffe sono più alte.</w:t>
      </w:r>
    </w:p>
    <w:p>
      <w:pPr>
        <w:spacing w:after="140" w:line="300"/>
      </w:pPr>
      <w:r>
        <w:rPr>
          <w:rFonts w:ascii="Arial" w:cs="Arial" w:eastAsia="Arial" w:hAnsi="Arial"/>
          <w:color w:val="1B2118"/>
          <w:sz w:val="21"/>
          <w:szCs w:val="21"/>
        </w:rPr>
        <w:t xml:space="preserve">Per ogni attività (Progetto, Rapporto di Monitoraggio, registrazione del Progetto, dei crediti del Progetto, del Rapporto e dei crediti del Rapporto) il portale calcola il costo per abitante in base alla popolazione: valori fissi fino a 5.000 abitanti e oltre 100.000, </w:t>
      </w:r>
      <w:r>
        <w:rPr>
          <w:rFonts w:ascii="Arial" w:cs="Arial" w:eastAsia="Arial" w:hAnsi="Arial"/>
          <w:b/>
          <w:bCs/>
          <w:color w:val="1B2118"/>
          <w:sz w:val="21"/>
          <w:szCs w:val="21"/>
        </w:rPr>
        <w:t xml:space="preserve">interpolati</w:t>
      </w:r>
      <w:r>
        <w:rPr>
          <w:rFonts w:ascii="Arial" w:cs="Arial" w:eastAsia="Arial" w:hAnsi="Arial"/>
          <w:color w:val="1B2118"/>
          <w:sz w:val="21"/>
          <w:szCs w:val="21"/>
        </w:rPr>
        <w:t xml:space="preserve"> tra 5.000 e 20.000 e tra 20.000 e 100.000 abitanti, arrotondati per eccesso al centesimo. Il costo annuo è il costo per abitante × la popolazione, mai sotto il </w:t>
      </w:r>
      <w:r>
        <w:rPr>
          <w:rFonts w:ascii="Arial" w:cs="Arial" w:eastAsia="Arial" w:hAnsi="Arial"/>
          <w:b/>
          <w:bCs/>
          <w:color w:val="1B2118"/>
          <w:sz w:val="21"/>
          <w:szCs w:val="21"/>
        </w:rPr>
        <w:t xml:space="preserve">minimo</w:t>
      </w:r>
      <w:r>
        <w:rPr>
          <w:rFonts w:ascii="Arial" w:cs="Arial" w:eastAsia="Arial" w:hAnsi="Arial"/>
          <w:color w:val="1B2118"/>
          <w:sz w:val="21"/>
          <w:szCs w:val="21"/>
        </w:rPr>
        <w:t xml:space="preserve"> né sopra il </w:t>
      </w:r>
      <w:r>
        <w:rPr>
          <w:rFonts w:ascii="Arial" w:cs="Arial" w:eastAsia="Arial" w:hAnsi="Arial"/>
          <w:b/>
          <w:bCs/>
          <w:color w:val="1B2118"/>
          <w:sz w:val="21"/>
          <w:szCs w:val="21"/>
        </w:rPr>
        <w:t xml:space="preserve">massimo</w:t>
      </w:r>
      <w:r>
        <w:rPr>
          <w:rFonts w:ascii="Arial" w:cs="Arial" w:eastAsia="Arial" w:hAnsi="Arial"/>
          <w:color w:val="1B2118"/>
          <w:sz w:val="21"/>
          <w:szCs w:val="21"/>
        </w:rPr>
        <w:t xml:space="preserve"> annuo della tabella. Le voci una tantum sono già ammortizzate in 10 anni, quindi si pagano ogni anno. Una tabella mostra le sei voci con € per abitante, € all'anno e il totale annuo. Le tabelle non comprendono la validazione dell'ente. Per progetti di durata diversa da 10 anni compare un avviso: i costi vanno computati a parte.</w:t>
      </w:r>
    </w:p>
    <w:p>
      <w:pPr>
        <w:spacing w:after="140" w:line="300"/>
      </w:pPr>
      <w:r>
        <w:rPr>
          <w:rFonts w:ascii="Arial" w:cs="Arial" w:eastAsia="Arial" w:hAnsi="Arial"/>
          <w:color w:val="1B2118"/>
          <w:sz w:val="21"/>
          <w:szCs w:val="21"/>
        </w:rPr>
        <w:t xml:space="preserve">In alternativa si può scegliere lo </w:t>
      </w:r>
      <w:r>
        <w:rPr>
          <w:rFonts w:ascii="Arial" w:cs="Arial" w:eastAsia="Arial" w:hAnsi="Arial"/>
          <w:b/>
          <w:bCs/>
          <w:color w:val="1B2118"/>
          <w:sz w:val="21"/>
          <w:szCs w:val="21"/>
        </w:rPr>
        <w:t xml:space="preserve">Schema tariffario</w:t>
      </w:r>
      <w:r>
        <w:rPr>
          <w:rFonts w:ascii="Arial" w:cs="Arial" w:eastAsia="Arial" w:hAnsi="Arial"/>
          <w:color w:val="1B2118"/>
          <w:sz w:val="21"/>
          <w:szCs w:val="21"/>
        </w:rPr>
        <w:t xml:space="preserve"> (tariffe massime pubblicate) o </w:t>
      </w:r>
      <w:r>
        <w:rPr>
          <w:rFonts w:ascii="Arial" w:cs="Arial" w:eastAsia="Arial" w:hAnsi="Arial"/>
          <w:b/>
          <w:bCs/>
          <w:color w:val="1B2118"/>
          <w:sz w:val="21"/>
          <w:szCs w:val="21"/>
        </w:rPr>
        <w:t xml:space="preserve">nessuna tariffa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In tutti i casi potete aggiungere il costo dell'ente di validazione (una tantum), della verifica annuale e altri costi annui. Per ogni anno compaiono crediti, valore, ricavi, partecipazione al Programma (registrazioni), consulenza (redazione di Progetto e Rapporto), ente, altri costi, costi totali, margine e cumulato; in alto ricavi, costi, margine netto con l'anno di rientro e </w:t>
      </w:r>
      <w:r>
        <w:rPr>
          <w:rFonts w:ascii="Arial" w:cs="Arial" w:eastAsia="Arial" w:hAnsi="Arial"/>
          <w:b/>
          <w:bCs/>
          <w:color w:val="1B2118"/>
          <w:sz w:val="21"/>
          <w:szCs w:val="21"/>
        </w:rPr>
        <w:t xml:space="preserve">costo e ricavo per abitante</w:t>
      </w:r>
      <w:r>
        <w:rPr>
          <w:rFonts w:ascii="Arial" w:cs="Arial" w:eastAsia="Arial" w:hAnsi="Arial"/>
          <w:color w:val="1B2118"/>
          <w:sz w:val="21"/>
          <w:szCs w:val="21"/>
        </w:rPr>
        <w:t xml:space="preserve"> nel periodo. È una stima indicativa, non un piano finanziario.</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il Caso 1 e 154.247 abitanti il simulatore riproduce le cifre dei contratti tipo EsaCom. Il simulatore stima meno crediti per abitante dell'Allegato A del contratto EsaCom, perché lavora sui totali del Comune e non per singola utenza: il metodo di stima va allineato.</w:t>
      </w:r>
    </w:p>
    <w:p>
      <w:pPr>
        <w:spacing w:after="120"/>
      </w:pP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di riferimento (o del cluster),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 riferimento</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b/>
          <w:bCs/>
          <w:color w:val="1B2118"/>
          <w:sz w:val="21"/>
          <w:szCs w:val="21"/>
        </w:rPr>
        <w:t xml:space="preserve">Conformità al modello CWP.</w:t>
      </w:r>
      <w:r>
        <w:rPr>
          <w:rFonts w:ascii="Arial" w:cs="Arial" w:eastAsia="Arial" w:hAnsi="Arial"/>
          <w:color w:val="1B2118"/>
          <w:sz w:val="21"/>
          <w:szCs w:val="21"/>
        </w:rPr>
        <w:t xml:space="preserve"> La stima ex ante a livello di Comune è ammessa dalla Metodologia (Capitolo 6.1, valori medi su tutte le utenze; Capitolo 6.2, emissioni di progetto ex ante «complessivamente a livello di Ente»). Il simulatore segue lo Standard per la durata (4.3.8), lo scenario di riferimento (4.8.1) e l'addizionalità (4.9.1), e la Metodologia per fattori di emissione (Tabelle 3-4), fattore del secco (formule 16-17), variazione di impatto e buffer (formule 31-32, Capitolo 7). I beni a riuso valgono zero, come chiede la Metodologia per la stima ex ante (Capitolo 6.1), e non ci sono perdite (leakage, Capitolo 6.3). Non sono considerati il primo anno parziale (formula 1) e la componente trasporto (Capitolo 9). Il calcolo per singola utenza resta quello ex post.</w:t>
      </w: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2"/>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2"/>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2"/>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3"/>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4"/>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5"/>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5"/>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37"/>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3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6"/>
        <w:gridCol w:w="2010"/>
        <w:gridCol w:w="5492"/>
      </w:tblGrid>
      <w:tr>
        <w:trPr>
          <w:tblHeader/>
        </w:trPr>
        <w:tc>
          <w:tcPr>
            <w:tcW w:type="dxa" w:w="21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r>
        <w:trPr>
          <w:cantSplit/>
        </w:trPr>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del progetto Claude</w:t>
            </w:r>
          </w:p>
        </w:tc>
      </w:tr>
      <w:tr>
        <w:trPr>
          <w:cantSplit/>
        </w:trPr>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Recap del portale in slide (PDF e PowerPoint): metodologia, funzioni, novità, punti aperti, simulatore, piani a pagamento, scelte da prendere</w:t>
            </w:r>
          </w:p>
        </w:tc>
      </w:tr>
    </w:tbl>
    <w:p>
      <w:pPr>
        <w:spacing w:after="160"/>
      </w:pPr>
    </w:p>
    <w:p>
      <w:pPr>
        <w:spacing w:after="140" w:line="300"/>
      </w:pPr>
      <w:r>
        <w:rPr>
          <w:rFonts w:ascii="Arial" w:cs="Arial" w:eastAsia="Arial" w:hAnsi="Arial"/>
          <w:b/>
          <w:bCs/>
          <w:color w:val="1B2118"/>
          <w:sz w:val="21"/>
          <w:szCs w:val="21"/>
        </w:rPr>
        <w:t xml:space="preserve">Documenti ufficiali del Programma.</w:t>
      </w:r>
      <w:r>
        <w:rPr>
          <w:rFonts w:ascii="Arial" w:cs="Arial" w:eastAsia="Arial" w:hAnsi="Arial"/>
          <w:color w:val="1B2118"/>
          <w:sz w:val="21"/>
          <w:szCs w:val="21"/>
        </w:rPr>
        <w:t xml:space="preserve"> In fondo alla pagina Documentazione ci sono gli </w:t>
      </w:r>
      <w:r>
        <w:rPr>
          <w:rFonts w:ascii="Arial" w:cs="Arial" w:eastAsia="Arial" w:hAnsi="Arial"/>
          <w:b/>
          <w:bCs/>
          <w:color w:val="1B2118"/>
          <w:sz w:val="21"/>
          <w:szCs w:val="21"/>
        </w:rPr>
        <w:t xml:space="preserve">8 documenti ufficiali del Programma Carbon WastePrint® versione 1.2</w:t>
      </w:r>
      <w:r>
        <w:rPr>
          <w:rFonts w:ascii="Arial" w:cs="Arial" w:eastAsia="Arial" w:hAnsi="Arial"/>
          <w:color w:val="1B2118"/>
          <w:sz w:val="21"/>
          <w:szCs w:val="21"/>
        </w:rPr>
        <w:t xml:space="preserve"> (04/09/2025): 0. Guida al Programma, 1. Definizioni, 2. Normativa di riferimento, 3. Standard, 4. Metodologia, 5. Politica di reclamo, 6. Schema tariffario, 7. Gestione della qualità dei dati. </w:t>
      </w:r>
      <w:r>
        <w:rPr>
          <w:rFonts w:ascii="Arial" w:cs="Arial" w:eastAsia="Arial" w:hAnsi="Arial"/>
          <w:b/>
          <w:bCs/>
          <w:color w:val="1B2118"/>
          <w:sz w:val="21"/>
          <w:szCs w:val="21"/>
        </w:rPr>
        <w:t xml:space="preserve">Apri PDF</w:t>
      </w:r>
      <w:r>
        <w:rPr>
          <w:rFonts w:ascii="Arial" w:cs="Arial" w:eastAsia="Arial" w:hAnsi="Arial"/>
          <w:color w:val="1B2118"/>
          <w:sz w:val="21"/>
          <w:szCs w:val="21"/>
        </w:rPr>
        <w:t xml:space="preserve"> li apre in una nuova scheda, </w:t>
      </w:r>
      <w:r>
        <w:rPr>
          <w:rFonts w:ascii="Arial" w:cs="Arial" w:eastAsia="Arial" w:hAnsi="Arial"/>
          <w:b/>
          <w:bCs/>
          <w:color w:val="1B2118"/>
          <w:sz w:val="21"/>
          <w:szCs w:val="21"/>
        </w:rPr>
        <w:t xml:space="preserve">Scarica</w:t>
      </w:r>
      <w:r>
        <w:rPr>
          <w:rFonts w:ascii="Arial" w:cs="Arial" w:eastAsia="Arial" w:hAnsi="Arial"/>
          <w:color w:val="1B2118"/>
          <w:sz w:val="21"/>
          <w:szCs w:val="21"/>
        </w:rPr>
        <w:t xml:space="preserve"> li salva. Sono gli stessi pubblicati sulla pagina pubblica del Programma e si aggiornano da Impostazioni → Modelli (categoria «programma»).</w:t>
      </w:r>
    </w:p>
    <w:p>
      <w:pPr>
        <w:spacing w:after="140" w:line="300"/>
      </w:pPr>
      <w:r>
        <w:rPr>
          <w:rFonts w:ascii="Arial" w:cs="Arial" w:eastAsia="Arial" w:hAnsi="Arial"/>
          <w:color w:val="1B2118"/>
          <w:sz w:val="21"/>
          <w:szCs w:val="21"/>
        </w:rPr>
        <w:t xml:space="preserve">Operatori e Comuni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si aggiornano insieme i manuali, il Registro e la Presentazione di riepilogo. Per la presentazione il secondo pulsante è </w:t>
      </w:r>
      <w:r>
        <w:rPr>
          <w:rFonts w:ascii="Arial" w:cs="Arial" w:eastAsia="Arial" w:hAnsi="Arial"/>
          <w:b/>
          <w:bCs/>
          <w:color w:val="1B2118"/>
          <w:sz w:val="21"/>
          <w:szCs w:val="21"/>
        </w:rPr>
        <w:t xml:space="preserve">Scarica PowerPoint</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Assistente virtuale</w:t>
      </w:r>
      <w:bookmarkEnd w:id="1"/>
    </w:p>
    <w:p>
      <w:pPr>
        <w:spacing w:after="140" w:line="300"/>
      </w:pPr>
      <w:r>
        <w:rPr>
          <w:rFonts w:ascii="Arial" w:cs="Arial" w:eastAsia="Arial" w:hAnsi="Arial"/>
          <w:color w:val="1B2118"/>
          <w:sz w:val="21"/>
          <w:szCs w:val="21"/>
        </w:rPr>
        <w:t xml:space="preserve">In basso a destra di ogni pagina c'è il pulsante </w:t>
      </w:r>
      <w:r>
        <w:rPr>
          <w:rFonts w:ascii="Arial" w:cs="Arial" w:eastAsia="Arial" w:hAnsi="Arial"/>
          <w:b/>
          <w:bCs/>
          <w:color w:val="1B2118"/>
          <w:sz w:val="21"/>
          <w:szCs w:val="21"/>
        </w:rPr>
        <w:t xml:space="preserve">✦ Assistente</w:t>
      </w:r>
      <w:r>
        <w:rPr>
          <w:rFonts w:ascii="Arial" w:cs="Arial" w:eastAsia="Arial" w:hAnsi="Arial"/>
          <w:color w:val="1B2118"/>
          <w:sz w:val="21"/>
          <w:szCs w:val="21"/>
        </w:rPr>
        <w:t xml:space="preserve">: apre una chat con un assistente basato su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(Anthropic) che risponde alle domande sul funzionamento del portale e del Programma. Per ora è disponibile per 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e per gli </w:t>
      </w:r>
      <w:r>
        <w:rPr>
          <w:rFonts w:ascii="Arial" w:cs="Arial" w:eastAsia="Arial" w:hAnsi="Arial"/>
          <w:b/>
          <w:bCs/>
          <w:color w:val="1B2118"/>
          <w:sz w:val="21"/>
          <w:szCs w:val="21"/>
        </w:rPr>
        <w:t xml:space="preserve">utenti degli enti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sa.</w:t>
      </w:r>
      <w:r>
        <w:rPr>
          <w:rFonts w:ascii="Arial" w:cs="Arial" w:eastAsia="Arial" w:hAnsi="Arial"/>
          <w:color w:val="1B2118"/>
          <w:sz w:val="21"/>
          <w:szCs w:val="21"/>
        </w:rPr>
        <w:t xml:space="preserve"> Risponde solo dalla sua base di conoscenza: per gli Amministratori il Manuale Utente, questo manuale, le tariffe (Schema tariffario v1.2 e costi Caso 1 e Caso 2 del 28/07/2026) e le note sul calcolo dei crediti; per gli enti il Manuale Utente e le tariffe. Se una cosa non c'è lo dice e invita a scrivere alla Fondazione. </w:t>
      </w:r>
      <w:r>
        <w:rPr>
          <w:rFonts w:ascii="Arial" w:cs="Arial" w:eastAsia="Arial" w:hAnsi="Arial"/>
          <w:b/>
          <w:bCs/>
          <w:color w:val="1B2118"/>
          <w:sz w:val="21"/>
          <w:szCs w:val="21"/>
        </w:rPr>
        <w:t xml:space="preserve">Non vede i dati delle pratiche</w:t>
      </w:r>
      <w:r>
        <w:rPr>
          <w:rFonts w:ascii="Arial" w:cs="Arial" w:eastAsia="Arial" w:hAnsi="Arial"/>
          <w:color w:val="1B2118"/>
          <w:sz w:val="21"/>
          <w:szCs w:val="21"/>
        </w:rPr>
        <w:t xml:space="preserve"> e non fa operazioni: spiega dove e come farle.</w:t>
      </w:r>
    </w:p>
    <w:p>
      <w:pPr>
        <w:spacing w:after="140" w:line="300"/>
      </w:pPr>
      <w:r>
        <w:rPr>
          <w:rFonts w:ascii="Arial" w:cs="Arial" w:eastAsia="Arial" w:hAnsi="Arial"/>
          <w:b/>
          <w:bCs/>
          <w:color w:val="1B2118"/>
          <w:sz w:val="21"/>
          <w:szCs w:val="21"/>
        </w:rPr>
        <w:t xml:space="preserve">Come si usa.</w:t>
      </w:r>
      <w:r>
        <w:rPr>
          <w:rFonts w:ascii="Arial" w:cs="Arial" w:eastAsia="Arial" w:hAnsi="Arial"/>
          <w:color w:val="1B2118"/>
          <w:sz w:val="21"/>
          <w:szCs w:val="21"/>
        </w:rPr>
        <w:t xml:space="preserve"> Si scrive la domanda (o si sceglie un esempio) e si preme </w:t>
      </w:r>
      <w:r>
        <w:rPr>
          <w:rFonts w:ascii="Arial" w:cs="Arial" w:eastAsia="Arial" w:hAnsi="Arial"/>
          <w:b/>
          <w:bCs/>
          <w:color w:val="1B2118"/>
          <w:sz w:val="21"/>
          <w:szCs w:val="21"/>
        </w:rPr>
        <w:t xml:space="preserve">Invio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mentre l'assistente prepara la risposta compare «Un attimo…» (di solito pochi secondi);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ricomincia la conversazione, </w:t>
      </w:r>
      <w:r>
        <w:rPr>
          <w:rFonts w:ascii="Arial" w:cs="Arial" w:eastAsia="Arial" w:hAnsi="Arial"/>
          <w:b/>
          <w:bCs/>
          <w:color w:val="1B2118"/>
          <w:sz w:val="21"/>
          <w:szCs w:val="21"/>
        </w:rPr>
        <w:t xml:space="preserve">✕</w:t>
      </w:r>
      <w:r>
        <w:rPr>
          <w:rFonts w:ascii="Arial" w:cs="Arial" w:eastAsia="Arial" w:hAnsi="Arial"/>
          <w:color w:val="1B2118"/>
          <w:sz w:val="21"/>
          <w:szCs w:val="21"/>
        </w:rPr>
        <w:t xml:space="preserve"> chiude la finestra. La conversazione resta solo nella pagina: il portale non salva domande né risposte, conta solo quante domande fa ogni utente e i token usati (limite predefinito 40 domande al giorno per utente). Le risposte sono generate da un'intelligenza artificiale: in caso di dubbio vale il manuale.</w:t>
      </w:r>
    </w:p>
    <w:p>
      <w:pPr>
        <w:spacing w:after="140" w:line="300"/>
      </w:pPr>
      <w:r>
        <w:rPr>
          <w:rFonts w:ascii="Arial" w:cs="Arial" w:eastAsia="Arial" w:hAnsi="Arial"/>
          <w:b/>
          <w:bCs/>
          <w:color w:val="1B2118"/>
          <w:sz w:val="21"/>
          <w:szCs w:val="21"/>
        </w:rPr>
        <w:t xml:space="preserve">Attivazione e costi.</w:t>
      </w:r>
      <w:r>
        <w:rPr>
          <w:rFonts w:ascii="Arial" w:cs="Arial" w:eastAsia="Arial" w:hAnsi="Arial"/>
          <w:color w:val="1B2118"/>
          <w:sz w:val="21"/>
          <w:szCs w:val="21"/>
        </w:rPr>
        <w:t xml:space="preserve"> L'assistente è </w:t>
      </w:r>
      <w:r>
        <w:rPr>
          <w:rFonts w:ascii="Arial" w:cs="Arial" w:eastAsia="Arial" w:hAnsi="Arial"/>
          <w:b/>
          <w:bCs/>
          <w:color w:val="1B2118"/>
          <w:sz w:val="21"/>
          <w:szCs w:val="21"/>
        </w:rPr>
        <w:t xml:space="preserve">attivo dal 19/10/2026</w:t>
      </w:r>
      <w:r>
        <w:rPr>
          <w:rFonts w:ascii="Arial" w:cs="Arial" w:eastAsia="Arial" w:hAnsi="Arial"/>
          <w:color w:val="1B2118"/>
          <w:sz w:val="21"/>
          <w:szCs w:val="21"/>
        </w:rPr>
        <w:t xml:space="preserve">. Funziona con una chiave della </w:t>
      </w:r>
      <w:r>
        <w:rPr>
          <w:rFonts w:ascii="Arial" w:cs="Arial" w:eastAsia="Arial" w:hAnsi="Arial"/>
          <w:b/>
          <w:bCs/>
          <w:color w:val="1B2118"/>
          <w:sz w:val="21"/>
          <w:szCs w:val="21"/>
        </w:rPr>
        <w:t xml:space="preserve">Claude Console</w:t>
      </w:r>
      <w:r>
        <w:rPr>
          <w:rFonts w:ascii="Arial" w:cs="Arial" w:eastAsia="Arial" w:hAnsi="Arial"/>
          <w:color w:val="1B2118"/>
          <w:sz w:val="21"/>
          <w:szCs w:val="21"/>
        </w:rPr>
        <w:t xml:space="preserve"> di Anthropic, che solo Luca inserisce nei segreti di Supabase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La chiave va creata </w:t>
      </w:r>
      <w:r>
        <w:rPr>
          <w:rFonts w:ascii="Arial" w:cs="Arial" w:eastAsia="Arial" w:hAnsi="Arial"/>
          <w:b/>
          <w:bCs/>
          <w:color w:val="1B2118"/>
          <w:sz w:val="21"/>
          <w:szCs w:val="21"/>
        </w:rPr>
        <w:t xml:space="preserve">legata a un solo spazio di lavoro</w:t>
      </w:r>
      <w:r>
        <w:rPr>
          <w:rFonts w:ascii="Arial" w:cs="Arial" w:eastAsia="Arial" w:hAnsi="Arial"/>
          <w:color w:val="1B2118"/>
          <w:sz w:val="21"/>
          <w:szCs w:val="21"/>
        </w:rPr>
        <w:t xml:space="preserve"> (workspace): una chiave valida per tutti gli spazi di lavoro viene rifiutata da Anthropic. L'uso si paga con i crediti dell'organizzazione della Console a cui appartiene la chiave: con un piano Claude </w:t>
      </w:r>
      <w:r>
        <w:rPr>
          <w:rFonts w:ascii="Arial" w:cs="Arial" w:eastAsia="Arial" w:hAnsi="Arial"/>
          <w:b/>
          <w:bCs/>
          <w:color w:val="1B2118"/>
          <w:sz w:val="21"/>
          <w:szCs w:val="21"/>
        </w:rPr>
        <w:t xml:space="preserve">Max o Team</w:t>
      </w:r>
      <w:r>
        <w:rPr>
          <w:rFonts w:ascii="Arial" w:cs="Arial" w:eastAsia="Arial" w:hAnsi="Arial"/>
          <w:color w:val="1B2118"/>
          <w:sz w:val="21"/>
          <w:szCs w:val="21"/>
        </w:rPr>
        <w:t xml:space="preserve"> si possono collegare i </w:t>
      </w:r>
      <w:r>
        <w:rPr>
          <w:rFonts w:ascii="Arial" w:cs="Arial" w:eastAsia="Arial" w:hAnsi="Arial"/>
          <w:b/>
          <w:bCs/>
          <w:color w:val="1B2118"/>
          <w:sz w:val="21"/>
          <w:szCs w:val="21"/>
        </w:rPr>
        <w:t xml:space="preserve">crediti API mensili</w:t>
      </w:r>
      <w:r>
        <w:rPr>
          <w:rFonts w:ascii="Arial" w:cs="Arial" w:eastAsia="Arial" w:hAnsi="Arial"/>
          <w:color w:val="1B2118"/>
          <w:sz w:val="21"/>
          <w:szCs w:val="21"/>
        </w:rPr>
        <w:t xml:space="preserve"> del piano a quell'organizzazione (Impostazioni → Fatturazione su claude.ai); il primo accredito può arrivare dopo qualche giorno, e nel frattempo si usano i crediti acquistati nella Console (Fatturazione), che scadono dopo un anno. I crediti mensili si consumano per primi. Se il credito finisce, l'assistente risponde con un messaggio d'errore e nulla viene addebitato al piano. Saldo e consumi si vedono nella Console. Il modello predefinito è </w:t>
      </w:r>
      <w:r>
        <w:rPr>
          <w:rFonts w:ascii="Arial" w:cs="Arial" w:eastAsia="Arial" w:hAnsi="Arial"/>
          <w:b/>
          <w:bCs/>
          <w:color w:val="1B2118"/>
          <w:sz w:val="21"/>
          <w:szCs w:val="21"/>
        </w:rPr>
        <w:t xml:space="preserve">Claude Haiku 5.5</w:t>
      </w:r>
      <w:r>
        <w:rPr>
          <w:rFonts w:ascii="Arial" w:cs="Arial" w:eastAsia="Arial" w:hAnsi="Arial"/>
          <w:color w:val="1B2118"/>
          <w:sz w:val="21"/>
          <w:szCs w:val="21"/>
        </w:rPr>
        <w:t xml:space="preserve">, il più economico: la base di conoscenza si rilegge dalla cache, quindi una domanda costa di solito meno di un centesimo di dollaro.</w:t>
      </w:r>
    </w:p>
    <w:p>
      <w:pPr>
        <w:spacing w:after="140" w:line="300"/>
      </w:pPr>
      <w:r>
        <w:rPr>
          <w:rFonts w:ascii="Arial" w:cs="Arial" w:eastAsia="Arial" w:hAnsi="Arial"/>
          <w:b/>
          <w:bCs/>
          <w:color w:val="1B2118"/>
          <w:sz w:val="21"/>
          <w:szCs w:val="21"/>
        </w:rPr>
        <w:t xml:space="preserve">Quando qualcosa non va.</w:t>
      </w:r>
      <w:r>
        <w:rPr>
          <w:rFonts w:ascii="Arial" w:cs="Arial" w:eastAsia="Arial" w:hAnsi="Arial"/>
          <w:color w:val="1B2118"/>
          <w:sz w:val="21"/>
          <w:szCs w:val="21"/>
        </w:rPr>
        <w:t xml:space="preserve"> Se Claude non può rispondere, l'utente vede un messaggio in italiano semplice: «L'assistente non è disponibile in questo momento. Riprova più tardi…», oppure «arrivano troppe domande» o «momentaneamente sovraccarico» quando il problema è passeggero. Gli Amministratori leggono anche la causa tra parentesi, per esempio «il credito della Claude Console è esaurito» o «la chiave non è legata a uno spazio di lavoro». Il dettaglio tecnico, in inglese, resta nei log della funzione: Supabase → Edge Functions → assistente → Logs.</w:t>
      </w:r>
    </w:p>
    <w:p>
      <w:pPr>
        <w:spacing w:after="140" w:line="300"/>
      </w:pPr>
      <w:r>
        <w:rPr>
          <w:rFonts w:ascii="Arial" w:cs="Arial" w:eastAsia="Arial" w:hAnsi="Arial"/>
          <w:b/>
          <w:bCs/>
          <w:color w:val="1B2118"/>
          <w:sz w:val="21"/>
          <w:szCs w:val="21"/>
        </w:rPr>
        <w:t xml:space="preserve">Aggiornare le conoscenze.</w:t>
      </w:r>
      <w:r>
        <w:rPr>
          <w:rFonts w:ascii="Arial" w:cs="Arial" w:eastAsia="Arial" w:hAnsi="Arial"/>
          <w:color w:val="1B2118"/>
          <w:sz w:val="21"/>
          <w:szCs w:val="21"/>
        </w:rPr>
        <w:t xml:space="preserve"> Quando cambiano i manuali o le tariffe si rigenera la base di conoscenza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e si pubblica: l'assistente la rilegge entro 10 minuti.</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5" w:id="1"/>
      <w:r>
        <w:rPr>
          <w:rFonts w:ascii="Arial" w:cs="Arial" w:eastAsia="Arial" w:hAnsi="Arial"/>
          <w:b/>
          <w:bCs/>
          <w:color w:val="2F5D3A"/>
          <w:sz w:val="34"/>
          <w:szCs w:val="34"/>
        </w:rPr>
        <w:t xml:space="preserve">25.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disponibile con PDF impaginato ed export Excel (capitolo «Simulatore di scenari»). In arrivo,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passi successivi:</w:t>
      </w:r>
      <w:r>
        <w:rPr>
          <w:rFonts w:ascii="Arial" w:cs="Arial" w:eastAsia="Arial" w:hAnsi="Arial"/>
          <w:color w:val="1B2118"/>
          <w:sz w:val="21"/>
          <w:szCs w:val="21"/>
        </w:rPr>
        <w:t xml:space="preserve"> la prima versione risponde sul funzionamento del portale (capitolo «Assistente virtuale»). In arrivo: estensione agli Operatori e, con regole sulla privacy, l'aiuto sulla singola pratica (cosa manca, bozze di richieste di integrazione e di risposte, spiegazione dei risultati del calcolo). Resta un supporto: le decisioni restano alla Fondazione.</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3.8 · 20/10/2026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3.8 · 20/10/2026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i2_ntgne3zdvfzlmfd3iy"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3.8)</dc:title>
  <dc:creator>Fondazione Operate</dc:creator>
  <cp:lastModifiedBy>Un-named</cp:lastModifiedBy>
  <cp:revision>1</cp:revision>
  <dcterms:created xsi:type="dcterms:W3CDTF">2026-10-20T11:28:28.046Z</dcterms:created>
  <dcterms:modified xsi:type="dcterms:W3CDTF">2026-10-20T11:28:28.046Z</dcterms:modified>
</cp:coreProperties>
</file>

<file path=docProps/custom.xml><?xml version="1.0" encoding="utf-8"?>
<Properties xmlns="http://schemas.openxmlformats.org/officeDocument/2006/custom-properties" xmlns:vt="http://schemas.openxmlformats.org/officeDocument/2006/docPropsVTypes"/>
</file>