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1.3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1.3 del 21/10/2026.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21/10/2026 (ore 11:45)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21/10/2026 (ore 11:45)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114"/>
        <w:gridCol w:w="5639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32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ISS-034, tranne ISS-012 e ISS-020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1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6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22"/>
        <w:gridCol w:w="1685"/>
        <w:gridCol w:w="2343"/>
        <w:gridCol w:w="2344"/>
        <w:gridCol w:w="2344"/>
      </w:tblGrid>
      <w:tr>
        <w:trPr>
          <w:tblHeader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92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6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4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4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21/10/2026 11:42, 14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Ultima prova: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20/10/2026, con 11 rifiuti attesi, conferma ordinaria possibile e rieseguibilità con dati vecchi.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1938"/>
        <w:gridCol w:w="1979"/>
        <w:gridCol w:w="3711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19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9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71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1.3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1.3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1.3)</dc:title>
  <dc:creator>Fondazione Operate</dc:creator>
  <cp:lastModifiedBy>Un-named</cp:lastModifiedBy>
  <cp:revision>1</cp:revision>
  <dcterms:created xsi:type="dcterms:W3CDTF">2026-10-21T09:44:22.374Z</dcterms:created>
  <dcterms:modified xsi:type="dcterms:W3CDTF">2026-10-21T09:44:22.374Z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