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6.7</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26/10/2026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 DPIA della Banca Dati Utenze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dei siti: siti che rifiutano i programmi automatici.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sempre obbligatorio; Progetti esistenti a Caso 1.</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Lettura dei siti.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Monitoraggio solo per Progetti registrati.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aggiornamento a blocchi e IndicePA non disponibile.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«Marketing: Comuni, gestori e campagne» (banche dati, campagne, pagina Approfondisci, richieste).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in Dashboard e nella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progetto e dati della pratica: listino Caso 1 / Caso 2 e valore del progetto; Dashboard: valore dei progetti per il cliente.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protezione dei dati del tracciato e della Banca Dati Utenze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valore dei crediti in simulazione e in fase esecutiva; Impostazioni: prezzo di riferimento del credito.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«Calcola» usa le utenze (categoria di simulazione come classe della delibera, kg misurati, frazioni per utenza); utenze senza categoria o fuori delibera escluse e conferma bloccata; fonte nei Risultati, nel CSV e nel PDF.</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delle utenze; calcolo di prova.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delle utenze nel passo 5a del calcolo: caricamento, schede, modulo; categorie tariffaria e di simulazione.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campi, regole, dati personali.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6.7 del 26/10/2026.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14</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18</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19</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21</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22</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24</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25</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26</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29</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30</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33</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45</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49</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51</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52</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53</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54</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Marketing: Comuni, gestori e campagne</w:t>
        </w:r>
        <w:r>
          <w:rPr>
            <w:rFonts w:ascii="Arial" w:cs="Arial" w:eastAsia="Arial" w:hAnsi="Arial"/>
            <w:color w:val="1B2118"/>
            <w:sz w:val="22"/>
            <w:szCs w:val="22"/>
          </w:rPr>
          <w:tab/>
          <w:t xml:space="preserve">57</w:t>
        </w:r>
      </w:hyperlink>
    </w:p>
    <w:p>
      <w:pPr>
        <w:tabs>
          <w:tab w:val="right" w:pos="9638" w:leader="dot"/>
        </w:tabs>
        <w:spacing w:after="130"/>
      </w:pPr>
      <w:hyperlink w:history="1" w:anchor="cap27">
        <w:r>
          <w:rPr>
            <w:rFonts w:ascii="Arial" w:cs="Arial" w:eastAsia="Arial" w:hAnsi="Arial"/>
            <w:color w:val="1B2118"/>
            <w:sz w:val="22"/>
            <w:szCs w:val="22"/>
          </w:rPr>
          <w:t xml:space="preserve">27.  Assistente virtuale</w:t>
        </w:r>
        <w:r>
          <w:rPr>
            <w:rFonts w:ascii="Arial" w:cs="Arial" w:eastAsia="Arial" w:hAnsi="Arial"/>
            <w:color w:val="1B2118"/>
            <w:sz w:val="22"/>
            <w:szCs w:val="22"/>
          </w:rPr>
          <w:tab/>
          <w:t xml:space="preserve">59</w:t>
        </w:r>
      </w:hyperlink>
    </w:p>
    <w:p>
      <w:pPr>
        <w:tabs>
          <w:tab w:val="right" w:pos="9638" w:leader="dot"/>
        </w:tabs>
        <w:spacing w:after="130"/>
      </w:pPr>
      <w:hyperlink w:history="1" w:anchor="cap28">
        <w:r>
          <w:rPr>
            <w:rFonts w:ascii="Arial" w:cs="Arial" w:eastAsia="Arial" w:hAnsi="Arial"/>
            <w:color w:val="1B2118"/>
            <w:sz w:val="22"/>
            <w:szCs w:val="22"/>
          </w:rPr>
          <w:t xml:space="preserve">28.  Sicurezza</w:t>
        </w:r>
        <w:r>
          <w:rPr>
            <w:rFonts w:ascii="Arial" w:cs="Arial" w:eastAsia="Arial" w:hAnsi="Arial"/>
            <w:color w:val="1B2118"/>
            <w:sz w:val="22"/>
            <w:szCs w:val="22"/>
          </w:rPr>
          <w:tab/>
          <w:t xml:space="preserve">61</w:t>
        </w:r>
      </w:hyperlink>
    </w:p>
    <w:p>
      <w:pPr>
        <w:tabs>
          <w:tab w:val="right" w:pos="9638" w:leader="dot"/>
        </w:tabs>
        <w:spacing w:after="130"/>
      </w:pPr>
      <w:hyperlink w:history="1" w:anchor="cap29">
        <w:r>
          <w:rPr>
            <w:rFonts w:ascii="Arial" w:cs="Arial" w:eastAsia="Arial" w:hAnsi="Arial"/>
            <w:color w:val="1B2118"/>
            <w:sz w:val="22"/>
            <w:szCs w:val="22"/>
          </w:rPr>
          <w:t xml:space="preserve">29.  Manutenzione ed emergenze</w:t>
        </w:r>
        <w:r>
          <w:rPr>
            <w:rFonts w:ascii="Arial" w:cs="Arial" w:eastAsia="Arial" w:hAnsi="Arial"/>
            <w:color w:val="1B2118"/>
            <w:sz w:val="22"/>
            <w:szCs w:val="22"/>
          </w:rPr>
          <w:tab/>
          <w:t xml:space="preserve">62</w:t>
        </w:r>
      </w:hyperlink>
    </w:p>
    <w:p>
      <w:pPr>
        <w:tabs>
          <w:tab w:val="right" w:pos="9638" w:leader="dot"/>
        </w:tabs>
        <w:spacing w:after="130"/>
      </w:pPr>
      <w:hyperlink w:history="1" w:anchor="cap30">
        <w:r>
          <w:rPr>
            <w:rFonts w:ascii="Arial" w:cs="Arial" w:eastAsia="Arial" w:hAnsi="Arial"/>
            <w:color w:val="1B2118"/>
            <w:sz w:val="22"/>
            <w:szCs w:val="22"/>
          </w:rPr>
          <w:t xml:space="preserve">30.  Funzioni in arrivo</w:t>
        </w:r>
        <w:r>
          <w:rPr>
            <w:rFonts w:ascii="Arial" w:cs="Arial" w:eastAsia="Arial" w:hAnsi="Arial"/>
            <w:color w:val="1B2118"/>
            <w:sz w:val="22"/>
            <w:szCs w:val="22"/>
          </w:rPr>
          <w:tab/>
          <w:t xml:space="preserve">63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nm6pxdjwexcdqyvh-cjuo">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Valore dei crediti (dal 23/10/2026).</w:t>
      </w:r>
      <w:r>
        <w:rPr>
          <w:rFonts w:ascii="Arial" w:cs="Arial" w:eastAsia="Arial" w:hAnsi="Arial"/>
          <w:color w:val="1B2118"/>
          <w:sz w:val="21"/>
          <w:szCs w:val="21"/>
        </w:rPr>
        <w:t xml:space="preserve"> In cima alla Dashboard due riquadri danno il valore complessivo dei crediti di tutto il portale, in crediti (1 credito = 1 tCO₂eq) e in euro:</w:t>
      </w:r>
    </w:p>
    <w:p>
      <w:pPr>
        <w:pStyle w:val="ListParagraph"/>
        <w:numPr>
          <w:ilvl w:val="0"/>
          <w:numId w:val="2"/>
        </w:numPr>
        <w:spacing w:after="70" w:line="290"/>
      </w:pPr>
      <w:r>
        <w:rPr>
          <w:rFonts w:ascii="Arial" w:cs="Arial" w:eastAsia="Arial" w:hAnsi="Arial"/>
          <w:b/>
          <w:bCs/>
          <w:color w:val="1B2118"/>
          <w:sz w:val="21"/>
          <w:szCs w:val="21"/>
        </w:rPr>
        <w:t xml:space="preserve">Crediti in simulazione</w:t>
      </w:r>
      <w:r>
        <w:rPr>
          <w:rFonts w:ascii="Arial" w:cs="Arial" w:eastAsia="Arial" w:hAnsi="Arial"/>
          <w:color w:val="1B2118"/>
          <w:sz w:val="21"/>
          <w:szCs w:val="21"/>
        </w:rPr>
        <w:t xml:space="preserve">: per ogni Comune conta solo lo scenario del Simulatore </w:t>
      </w:r>
      <w:r>
        <w:rPr>
          <w:rFonts w:ascii="Arial" w:cs="Arial" w:eastAsia="Arial" w:hAnsi="Arial"/>
          <w:b/>
          <w:bCs/>
          <w:color w:val="1B2118"/>
          <w:sz w:val="21"/>
          <w:szCs w:val="21"/>
        </w:rPr>
        <w:t xml:space="preserve">aggiornato più di recente</w:t>
      </w:r>
      <w:r>
        <w:rPr>
          <w:rFonts w:ascii="Arial" w:cs="Arial" w:eastAsia="Arial" w:hAnsi="Arial"/>
          <w:color w:val="1B2118"/>
          <w:sz w:val="21"/>
          <w:szCs w:val="21"/>
        </w:rPr>
        <w:t xml:space="preserve"> (gli scenari prudente, obiettivo, ambizioso… sono alternative e non si sommano), con i crediti netti di tutto il periodo simulato (7, 10 o 21 anni). Gli euro sono i ricavi dello scenario (crediti × valore del credito anno per anno). Gli scenari salvati prima del 23/10/2026 o senza valore del credito si valorizzano al prezzo di riferimento e il riquadro dice quanti sono: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nel Simulatore. È una stima ex ante, non certificabile.</w:t>
      </w:r>
    </w:p>
    <w:p>
      <w:pPr>
        <w:pStyle w:val="ListParagraph"/>
        <w:numPr>
          <w:ilvl w:val="0"/>
          <w:numId w:val="2"/>
        </w:numPr>
        <w:spacing w:after="70" w:line="290"/>
      </w:pPr>
      <w:r>
        <w:rPr>
          <w:rFonts w:ascii="Arial" w:cs="Arial" w:eastAsia="Arial" w:hAnsi="Arial"/>
          <w:b/>
          <w:bCs/>
          <w:color w:val="1B2118"/>
          <w:sz w:val="21"/>
          <w:szCs w:val="21"/>
        </w:rPr>
        <w:t xml:space="preserve">Crediti in fase esecutiva</w:t>
      </w:r>
      <w:r>
        <w:rPr>
          <w:rFonts w:ascii="Arial" w:cs="Arial" w:eastAsia="Arial" w:hAnsi="Arial"/>
          <w:color w:val="1B2118"/>
          <w:sz w:val="21"/>
          <w:szCs w:val="21"/>
        </w:rPr>
        <w:t xml:space="preserve">: tre righe. </w:t>
      </w:r>
      <w:r>
        <w:rPr>
          <w:rFonts w:ascii="Arial" w:cs="Arial" w:eastAsia="Arial" w:hAnsi="Arial"/>
          <w:b/>
          <w:bCs/>
          <w:color w:val="1B2118"/>
          <w:sz w:val="21"/>
          <w:szCs w:val="21"/>
        </w:rPr>
        <w:t xml:space="preserve">Calcolati</w:t>
      </w:r>
      <w:r>
        <w:rPr>
          <w:rFonts w:ascii="Arial" w:cs="Arial" w:eastAsia="Arial" w:hAnsi="Arial"/>
          <w:color w:val="1B2118"/>
          <w:sz w:val="21"/>
          <w:szCs w:val="21"/>
        </w:rPr>
        <w:t xml:space="preserve">: crediti netti dei calcoli ex post confermati e ancora validi (non sostituiti da una nuova versione). </w:t>
      </w:r>
      <w:r>
        <w:rPr>
          <w:rFonts w:ascii="Arial" w:cs="Arial" w:eastAsia="Arial" w:hAnsi="Arial"/>
          <w:b/>
          <w:bCs/>
          <w:color w:val="1B2118"/>
          <w:sz w:val="21"/>
          <w:szCs w:val="21"/>
        </w:rPr>
        <w:t xml:space="preserve">Emessi</w:t>
      </w:r>
      <w:r>
        <w:rPr>
          <w:rFonts w:ascii="Arial" w:cs="Arial" w:eastAsia="Arial" w:hAnsi="Arial"/>
          <w:color w:val="1B2118"/>
          <w:sz w:val="21"/>
          <w:szCs w:val="21"/>
        </w:rPr>
        <w:t xml:space="preserve">: crediti dei lotti emessi dai Rapporti. </w:t>
      </w:r>
      <w:r>
        <w:rPr>
          <w:rFonts w:ascii="Arial" w:cs="Arial" w:eastAsia="Arial" w:hAnsi="Arial"/>
          <w:b/>
          <w:bCs/>
          <w:color w:val="1B2118"/>
          <w:sz w:val="21"/>
          <w:szCs w:val="21"/>
        </w:rPr>
        <w:t xml:space="preserve">Venduti</w:t>
      </w:r>
      <w:r>
        <w:rPr>
          <w:rFonts w:ascii="Arial" w:cs="Arial" w:eastAsia="Arial" w:hAnsi="Arial"/>
          <w:color w:val="1B2118"/>
          <w:sz w:val="21"/>
          <w:szCs w:val="21"/>
        </w:rPr>
        <w:t xml:space="preserve">: crediti venduti con il valore comunicato dal registro. Calcolati ed emessi sono valorizzati al </w:t>
      </w:r>
      <w:r>
        <w:rPr>
          <w:rFonts w:ascii="Arial" w:cs="Arial" w:eastAsia="Arial" w:hAnsi="Arial"/>
          <w:b/>
          <w:bCs/>
          <w:color w:val="1B2118"/>
          <w:sz w:val="21"/>
          <w:szCs w:val="21"/>
        </w:rPr>
        <w:t xml:space="preserve">prezzo di riferimento</w:t>
      </w:r>
      <w:r>
        <w:rPr>
          <w:rFonts w:ascii="Arial" w:cs="Arial" w:eastAsia="Arial" w:hAnsi="Arial"/>
          <w:color w:val="1B2118"/>
          <w:sz w:val="21"/>
          <w:szCs w:val="21"/>
        </w:rPr>
        <w:t xml:space="preserve"> (Impostazioni); le righe non si sommano, perché i crediti emessi provengono dai calcoli.</w:t>
      </w:r>
    </w:p>
    <w:p>
      <w:pPr>
        <w:pStyle w:val="ListParagraph"/>
        <w:numPr>
          <w:ilvl w:val="0"/>
          <w:numId w:val="2"/>
        </w:numPr>
        <w:spacing w:after="70" w:line="290"/>
      </w:pPr>
      <w:r>
        <w:rPr>
          <w:rFonts w:ascii="Arial" w:cs="Arial" w:eastAsia="Arial" w:hAnsi="Arial"/>
          <w:b/>
          <w:bCs/>
          <w:color w:val="1B2118"/>
          <w:sz w:val="21"/>
          <w:szCs w:val="21"/>
        </w:rPr>
        <w:t xml:space="preserve">Valore dei progetti (quanto paga il cliente)</w:t>
      </w:r>
      <w:r>
        <w:rPr>
          <w:rFonts w:ascii="Arial" w:cs="Arial" w:eastAsia="Arial" w:hAnsi="Arial"/>
          <w:color w:val="1B2118"/>
          <w:sz w:val="21"/>
          <w:szCs w:val="21"/>
        </w:rPr>
        <w:t xml:space="preserve"> (dal 23/10/2026): il totale in euro dei Progetti aperti (non annullati né ritirati) con il listino del </w:t>
      </w:r>
      <w:r>
        <w:rPr>
          <w:rFonts w:ascii="Arial" w:cs="Arial" w:eastAsia="Arial" w:hAnsi="Arial"/>
          <w:b/>
          <w:bCs/>
          <w:color w:val="1B2118"/>
          <w:sz w:val="21"/>
          <w:szCs w:val="21"/>
        </w:rPr>
        <w:t xml:space="preserve">Caso 1</w:t>
      </w:r>
      <w:r>
        <w:rPr>
          <w:rFonts w:ascii="Arial" w:cs="Arial" w:eastAsia="Arial" w:hAnsi="Arial"/>
          <w:color w:val="1B2118"/>
          <w:sz w:val="21"/>
          <w:szCs w:val="21"/>
        </w:rPr>
        <w:t xml:space="preserve"> o del </w:t>
      </w:r>
      <w:r>
        <w:rPr>
          <w:rFonts w:ascii="Arial" w:cs="Arial" w:eastAsia="Arial" w:hAnsi="Arial"/>
          <w:b/>
          <w:bCs/>
          <w:color w:val="1B2118"/>
          <w:sz w:val="21"/>
          <w:szCs w:val="21"/>
        </w:rPr>
        <w:t xml:space="preserve">Caso 2</w:t>
      </w:r>
      <w:r>
        <w:rPr>
          <w:rFonts w:ascii="Arial" w:cs="Arial" w:eastAsia="Arial" w:hAnsi="Arial"/>
          <w:color w:val="1B2118"/>
          <w:sz w:val="21"/>
          <w:szCs w:val="21"/>
        </w:rPr>
        <w:t xml:space="preserve">, per la popolazione e il periodo di ogni Progetto, con l'importo annuo; sotto, la riga </w:t>
      </w:r>
      <w:r>
        <w:rPr>
          <w:rFonts w:ascii="Arial" w:cs="Arial" w:eastAsia="Arial" w:hAnsi="Arial"/>
          <w:b/>
          <w:bCs/>
          <w:color w:val="1B2118"/>
          <w:sz w:val="21"/>
          <w:szCs w:val="21"/>
        </w:rPr>
        <w:t xml:space="preserve">In simulazione</w:t>
      </w:r>
      <w:r>
        <w:rPr>
          <w:rFonts w:ascii="Arial" w:cs="Arial" w:eastAsia="Arial" w:hAnsi="Arial"/>
          <w:color w:val="1B2118"/>
          <w:sz w:val="21"/>
          <w:szCs w:val="21"/>
        </w:rPr>
        <w:t xml:space="preserve"> con quanto pagherebbe il cliente nell'ultimo scenario di ogni Comune simulato con il Caso 1 o 2. Il riquadro dice quanti Progetti sono senza listino o senza popolazione (da completare in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 della pratica) e quanti scenari non hanno il Caso 1 o 2 (o sono stati salvati prima del 23/10: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Gli utenti dei Comuni vedono gli stessi riquadri nella loro pagina </w:t>
      </w:r>
      <w:r>
        <w:rPr>
          <w:rFonts w:ascii="Arial" w:cs="Arial" w:eastAsia="Arial" w:hAnsi="Arial"/>
          <w:b/>
          <w:bCs/>
          <w:color w:val="1B2118"/>
          <w:sz w:val="21"/>
          <w:szCs w:val="21"/>
        </w:rPr>
        <w:t xml:space="preserve">Le mie pratiche</w:t>
      </w:r>
      <w:r>
        <w:rPr>
          <w:rFonts w:ascii="Arial" w:cs="Arial" w:eastAsia="Arial" w:hAnsi="Arial"/>
          <w:color w:val="1B2118"/>
          <w:sz w:val="21"/>
          <w:szCs w:val="21"/>
        </w:rPr>
        <w:t xml:space="preserve">, ma solo con i dati della propria organizzazione (scenari collegati alla loro organizzazione, loro calcoli, lotti e vendite). Gli scenari fatti per un Comune scritto solo per nome, senza organizzazione collegata, contano solo per lo staff.</w:t>
      </w:r>
    </w:p>
    <w:p>
      <w:pPr>
        <w:spacing w:after="140" w:line="300"/>
      </w:pPr>
      <w:r>
        <w:rPr>
          <w:rFonts w:ascii="Arial" w:cs="Arial" w:eastAsia="Arial" w:hAnsi="Arial"/>
          <w:b/>
          <w:bCs/>
          <w:color w:val="1B2118"/>
          <w:sz w:val="21"/>
          <w:szCs w:val="21"/>
        </w:rPr>
        <w:t xml:space="preserve">Riquadri delle pratiche.</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7"/>
        <w:gridCol w:w="6961"/>
      </w:tblGrid>
      <w:tr>
        <w:trPr>
          <w:tblHeader/>
        </w:trPr>
        <w:tc>
          <w:tcPr>
            <w:tcW w:type="dxa" w:w="26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9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spacing w:after="140" w:line="300"/>
      </w:pPr>
      <w:r>
        <w:rPr>
          <w:rFonts w:ascii="Arial" w:cs="Arial" w:eastAsia="Arial" w:hAnsi="Arial"/>
          <w:b/>
          <w:bCs/>
          <w:color w:val="1B2118"/>
          <w:sz w:val="21"/>
          <w:szCs w:val="21"/>
        </w:rPr>
        <w:t xml:space="preserve">Colori dello stato delle fasi (dal 23/10/2026).</w:t>
      </w:r>
      <w:r>
        <w:rPr>
          <w:rFonts w:ascii="Arial" w:cs="Arial" w:eastAsia="Arial" w:hAnsi="Arial"/>
          <w:color w:val="1B2118"/>
          <w:sz w:val="21"/>
          <w:szCs w:val="21"/>
        </w:rPr>
        <w:t xml:space="preserve"> Nella Dashboard (colonna Fase corrente) e nelle fasi della pratica la scritta dello stato è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Completata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arancio</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rossa</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Un codice scritto a mano si salva così com'è; se non segue il formato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(es. minuscole o tre cifre) compare un avviso arancione. La regola sul formato dei codici scritti a mano è in attesa della Fondazione.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e per il valore del progetto; si possono completare dopo.</w:t>
      </w:r>
    </w:p>
    <w:p>
      <w:pPr>
        <w:pStyle w:val="ListParagraph"/>
        <w:numPr>
          <w:ilvl w:val="0"/>
          <w:numId w:val="4"/>
        </w:numPr>
        <w:spacing w:after="70" w:line="290"/>
      </w:pP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obbligatorio dal 23/10/2026: </w:t>
      </w: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Caso 2 – Progetto obbligatorio (da bando di gara)</w:t>
      </w:r>
      <w:r>
        <w:rPr>
          <w:rFonts w:ascii="Arial" w:cs="Arial" w:eastAsia="Arial" w:hAnsi="Arial"/>
          <w:color w:val="1B2118"/>
          <w:sz w:val="21"/>
          <w:szCs w:val="21"/>
        </w:rPr>
        <w:t xml:space="preserve">, le stesse tabelle dei costi del Simulatore. Con la popolazione indicata, sotto il menu compare il </w:t>
      </w:r>
      <w:r>
        <w:rPr>
          <w:rFonts w:ascii="Arial" w:cs="Arial" w:eastAsia="Arial" w:hAnsi="Arial"/>
          <w:b/>
          <w:bCs/>
          <w:color w:val="1B2118"/>
          <w:sz w:val="21"/>
          <w:szCs w:val="21"/>
        </w:rPr>
        <w:t xml:space="preserve">valore del progetto</w:t>
      </w:r>
      <w:r>
        <w:rPr>
          <w:rFonts w:ascii="Arial" w:cs="Arial" w:eastAsia="Arial" w:hAnsi="Arial"/>
          <w:color w:val="1B2118"/>
          <w:sz w:val="21"/>
          <w:szCs w:val="21"/>
        </w:rPr>
        <w:t xml:space="preserve"> (es. Caso 1 a 16.735 abitanti: 16.232,95 € all'anno, 162.329,50 € in 10 anni). Con il periodo di 7 anni il valore è una stima, perché le tabelle valgono per 10 anni.</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e, per il Progetto, il </w:t>
      </w:r>
      <w:r>
        <w:rPr>
          <w:rFonts w:ascii="Arial" w:cs="Arial" w:eastAsia="Arial" w:hAnsi="Arial"/>
          <w:b/>
          <w:bCs/>
          <w:color w:val="1B2118"/>
          <w:sz w:val="21"/>
          <w:szCs w:val="21"/>
        </w:rPr>
        <w:t xml:space="preserve">Listino</w:t>
      </w:r>
      <w:r>
        <w:rPr>
          <w:rFonts w:ascii="Arial" w:cs="Arial" w:eastAsia="Arial" w:hAnsi="Arial"/>
          <w:color w:val="1B2118"/>
          <w:sz w:val="21"/>
          <w:szCs w:val="21"/>
        </w:rPr>
        <w:t xml:space="preserve"> (Caso 1 o Caso 2, sempre obbligatorio: i Progetti aperti prima del 23/10/2026 sono passati a Caso 1 il 25/10/2026, su indicazione di Luca Moretti, con la voce nell'Audit) con il </w:t>
      </w:r>
      <w:r>
        <w:rPr>
          <w:rFonts w:ascii="Arial" w:cs="Arial" w:eastAsia="Arial" w:hAnsi="Arial"/>
          <w:b/>
          <w:bCs/>
          <w:color w:val="1B2118"/>
          <w:sz w:val="21"/>
          <w:szCs w:val="21"/>
        </w:rPr>
        <w:t xml:space="preserve">Valore del progetto per il cliente</w:t>
      </w:r>
      <w:r>
        <w:rPr>
          <w:rFonts w:ascii="Arial" w:cs="Arial" w:eastAsia="Arial" w:hAnsi="Arial"/>
          <w:color w:val="1B2118"/>
          <w:sz w:val="21"/>
          <w:szCs w:val="21"/>
        </w:rPr>
        <w:t xml:space="preserve"> (in 10 anni e all'anno).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registrato</w:t>
      </w:r>
      <w:r>
        <w:rPr>
          <w:rFonts w:ascii="Arial" w:cs="Arial" w:eastAsia="Arial" w:hAnsi="Arial"/>
          <w:color w:val="1B2118"/>
          <w:sz w:val="21"/>
          <w:szCs w:val="21"/>
        </w:rPr>
        <w:t xml:space="preserve">, cioè con la fase 6 «Seconda verifica documentale» completata: prima il pulsante non compare e una riga lo spiega).</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sette sezioni: Il Programma (pagina pubblica), metodologie approvate, prezzo di riferimento del credito,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Prezzo di riferimento del credito</w:t>
      </w:r>
    </w:p>
    <w:p>
      <w:pPr>
        <w:spacing w:after="140" w:line="300"/>
      </w:pPr>
      <w:r>
        <w:rPr>
          <w:rFonts w:ascii="Arial" w:cs="Arial" w:eastAsia="Arial" w:hAnsi="Arial"/>
          <w:color w:val="1B2118"/>
          <w:sz w:val="21"/>
          <w:szCs w:val="21"/>
        </w:rPr>
        <w:t xml:space="preserve">Il prezzo in euro (iniziale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credito, come il valore proposto dal Simulatore) con cui la Dashboard dà un valore ai crediti calcolati ed emessi e agli scenari salvati senza valore del credito. Scrivete il nuovo prezzo (0-10.000 €, decimali con la virgola)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la modifica finisce nell'Audit («modifica prezzo di riferimento del credito»). Le vendite usano sempre il valore comunicato dal registro.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Il tracciato (passo 5b)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(la Banca Dati Utenze per utenza del passo 5a, descritta più avanti, contiene invece nomi e indirizzi, con le protezioni indicate lì):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Banca Dati Utenze per utenza (passo 5a)</w:t>
      </w:r>
    </w:p>
    <w:p>
      <w:pPr>
        <w:spacing w:after="140" w:line="300"/>
      </w:pPr>
      <w:r>
        <w:rPr>
          <w:rFonts w:ascii="Arial" w:cs="Arial" w:eastAsia="Arial" w:hAnsi="Arial"/>
          <w:color w:val="1B2118"/>
          <w:sz w:val="21"/>
          <w:szCs w:val="21"/>
        </w:rPr>
        <w:t xml:space="preserve">Il calcolo dei crediti usa un formato </w:t>
      </w:r>
      <w:r>
        <w:rPr>
          <w:rFonts w:ascii="Arial" w:cs="Arial" w:eastAsia="Arial" w:hAnsi="Arial"/>
          <w:b/>
          <w:bCs/>
          <w:color w:val="1B2118"/>
          <w:sz w:val="21"/>
          <w:szCs w:val="21"/>
        </w:rPr>
        <w:t xml:space="preserve">per utenza</w:t>
      </w:r>
      <w:r>
        <w:rPr>
          <w:rFonts w:ascii="Arial" w:cs="Arial" w:eastAsia="Arial" w:hAnsi="Arial"/>
          <w:color w:val="1B2118"/>
          <w:sz w:val="21"/>
          <w:szCs w:val="21"/>
        </w:rPr>
        <w:t xml:space="preserve">: ogni anno il Comune o il gestore compila il modello </w:t>
      </w:r>
      <w:r>
        <w:rPr>
          <w:rFonts w:ascii="Arial" w:cs="Arial" w:eastAsia="Arial" w:hAnsi="Arial"/>
          <w:b/>
          <w:bCs/>
          <w:color w:val="1B2118"/>
          <w:sz w:val="21"/>
          <w:szCs w:val="21"/>
        </w:rPr>
        <w:t xml:space="preserve">Banca dati utenze CWP</w:t>
      </w:r>
      <w:r>
        <w:rPr>
          <w:rFonts w:ascii="Arial" w:cs="Arial" w:eastAsia="Arial" w:hAnsi="Arial"/>
          <w:color w:val="1B2118"/>
          <w:sz w:val="21"/>
          <w:szCs w:val="21"/>
        </w:rPr>
        <w:t xml:space="preserve"> con l'elenco </w:t>
      </w:r>
      <w:r>
        <w:rPr>
          <w:rFonts w:ascii="Arial" w:cs="Arial" w:eastAsia="Arial" w:hAnsi="Arial"/>
          <w:b/>
          <w:bCs/>
          <w:color w:val="1B2118"/>
          <w:sz w:val="21"/>
          <w:szCs w:val="21"/>
        </w:rPr>
        <w:t xml:space="preserve">completo</w:t>
      </w:r>
      <w:r>
        <w:rPr>
          <w:rFonts w:ascii="Arial" w:cs="Arial" w:eastAsia="Arial" w:hAnsi="Arial"/>
          <w:color w:val="1B2118"/>
          <w:sz w:val="21"/>
          <w:szCs w:val="21"/>
        </w:rPr>
        <w:t xml:space="preserve"> delle utenze dell'anno, domestiche e non domestiche, e lo carica nel calcolo di quell'anno. Nessun dato si riprende dall'anno precedente, perché le utenze cambiano di continuo.</w:t>
      </w:r>
    </w:p>
    <w:p>
      <w:pPr>
        <w:spacing w:after="140" w:line="300"/>
      </w:pPr>
      <w:r>
        <w:rPr>
          <w:rFonts w:ascii="Arial" w:cs="Arial" w:eastAsia="Arial" w:hAnsi="Arial"/>
          <w:b/>
          <w:bCs/>
          <w:color w:val="1B2118"/>
          <w:sz w:val="21"/>
          <w:szCs w:val="21"/>
        </w:rPr>
        <w:t xml:space="preserve">Foglio Utenze_domestiche</w:t>
      </w:r>
      <w:r>
        <w:rPr>
          <w:rFonts w:ascii="Arial" w:cs="Arial" w:eastAsia="Arial" w:hAnsi="Arial"/>
          <w:color w:val="1B2118"/>
          <w:sz w:val="21"/>
          <w:szCs w:val="21"/>
        </w:rPr>
        <w:t xml:space="preserve"> — una riga per ogni utenza domestica attiva nell'anno.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9"/>
        <w:gridCol w:w="1760"/>
        <w:gridCol w:w="3939"/>
      </w:tblGrid>
      <w:tr>
        <w:trPr>
          <w:tblHeader/>
        </w:trPr>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utenza</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dell'utenza nel sistema del Comune o del gestore (es. codice TARI); unico nel file</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capofamiglia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 cognome dell'intestatario</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Via, numero civico ed eventuale interno</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Classe della quota variabile nella delibera TARI (di solito il numero di componenti: 1, 2, … 6 e oltre). Se presente, il portale la propone come </w:t>
            </w:r>
            <w:r>
              <w:rPr>
                <w:rFonts w:ascii="Arial" w:cs="Arial" w:eastAsia="Arial" w:hAnsi="Arial"/>
                <w:b/>
                <w:bCs/>
                <w:color w:val="1B2118"/>
                <w:sz w:val="18"/>
                <w:szCs w:val="18"/>
              </w:rPr>
              <w:t xml:space="preserve">categoria di simulazione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Componenti del nucleo familiare: colloca l'utenza nella classe della delibera (Kb); se manca si usano i valori medi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abitazione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dell'abitazione in m²</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totale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prodotti nell'anno, somma di tutte le frazioni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Indifferenziato (kg)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residuo dell'anno, anche 0</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Organico, Carta e cartone, Plastica, Vetro, Metallo, Verde, Legno, Tessili, RAEE, Ingombranti, Inerti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Kg di ciascuna frazione nell'anno; vuoto = frazione non raccolta o non misurata (vuoto è diverso da 0)</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Svuotamenti (una colonna per frazione)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svuotamenti o conferimenti della frazione nell'anno, intero</w:t>
            </w:r>
          </w:p>
        </w:tc>
      </w:tr>
    </w:tbl>
    <w:p>
      <w:pPr>
        <w:spacing w:after="160"/>
      </w:pPr>
    </w:p>
    <w:p>
      <w:pPr>
        <w:spacing w:after="140" w:line="300"/>
      </w:pPr>
      <w:r>
        <w:rPr>
          <w:rFonts w:ascii="Arial" w:cs="Arial" w:eastAsia="Arial" w:hAnsi="Arial"/>
          <w:b/>
          <w:bCs/>
          <w:color w:val="1B2118"/>
          <w:sz w:val="21"/>
          <w:szCs w:val="21"/>
        </w:rPr>
        <w:t xml:space="preserve">Foglio Utenze_non_domestiche</w:t>
      </w:r>
      <w:r>
        <w:rPr>
          <w:rFonts w:ascii="Arial" w:cs="Arial" w:eastAsia="Arial" w:hAnsi="Arial"/>
          <w:color w:val="1B2118"/>
          <w:sz w:val="21"/>
          <w:szCs w:val="21"/>
        </w:rPr>
        <w:t xml:space="preserve"> — una riga per ogni attività, ente o ufficio. Stesse colonne, con queste differenze: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8"/>
        <w:gridCol w:w="1945"/>
        <w:gridCol w:w="5985"/>
      </w:tblGrid>
      <w:tr>
        <w:trPr>
          <w:tblHeader/>
        </w:trPr>
        <w:tc>
          <w:tcPr>
            <w:tcW w:type="dxa" w:w="17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5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Ragione sociale</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posto del nome del capofamiglia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 ma da compilare se nota</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della categoria della delibera TARI (DPR 158/1999, es. 22 = ristoranti; il foglio Categorie ha l'elenco di riferimento). Se presente, il portale la propone come </w:t>
            </w:r>
            <w:r>
              <w:rPr>
                <w:rFonts w:ascii="Arial" w:cs="Arial" w:eastAsia="Arial" w:hAnsi="Arial"/>
                <w:b/>
                <w:bCs/>
                <w:color w:val="1B2118"/>
                <w:sz w:val="18"/>
                <w:szCs w:val="18"/>
              </w:rPr>
              <w:t xml:space="preserve">categoria di simulazione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locali</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tassata dei locali in m² (al posto dei mq dell'abitazione); se manca si usano i valori medi della categoria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c'è: vale solo per le domestiche</w:t>
            </w:r>
          </w:p>
        </w:tc>
      </w:tr>
    </w:tbl>
    <w:p>
      <w:pPr>
        <w:spacing w:after="160"/>
      </w:pPr>
    </w:p>
    <w:p>
      <w:pPr>
        <w:spacing w:after="140" w:line="300"/>
      </w:pP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Non è nel file: è un campo del portale, per ogni utenza, che dice quale classe o categoria usa il calcolo per i rifiuti attesi. All'arrivo del file il portale la propone uguale alla categoria tariffaria; la Fondazione può cambiarla dal modulo dell'utenza. Le utenze senza categoria tariffaria restano «da assegnare» finché non la si indica.</w:t>
      </w:r>
    </w:p>
    <w:p>
      <w:pPr>
        <w:spacing w:after="140" w:line="300"/>
      </w:pPr>
      <w:r>
        <w:rPr>
          <w:rFonts w:ascii="Arial" w:cs="Arial" w:eastAsia="Arial" w:hAnsi="Arial"/>
          <w:b/>
          <w:bCs/>
          <w:color w:val="1B2118"/>
          <w:sz w:val="21"/>
          <w:szCs w:val="21"/>
        </w:rPr>
        <w:t xml:space="preserve">Regole.</w:t>
      </w:r>
    </w:p>
    <w:p>
      <w:pPr>
        <w:pStyle w:val="ListParagraph"/>
        <w:numPr>
          <w:ilvl w:val="0"/>
          <w:numId w:val="2"/>
        </w:numPr>
        <w:spacing w:after="70" w:line="290"/>
      </w:pPr>
      <w:r>
        <w:rPr>
          <w:rFonts w:ascii="Arial" w:cs="Arial" w:eastAsia="Arial" w:hAnsi="Arial"/>
          <w:color w:val="1B2118"/>
          <w:sz w:val="21"/>
          <w:szCs w:val="21"/>
        </w:rPr>
        <w:t xml:space="preserve">Ogni anno si carica l'</w:t>
      </w:r>
      <w:r>
        <w:rPr>
          <w:rFonts w:ascii="Arial" w:cs="Arial" w:eastAsia="Arial" w:hAnsi="Arial"/>
          <w:b/>
          <w:bCs/>
          <w:color w:val="1B2118"/>
          <w:sz w:val="21"/>
          <w:szCs w:val="21"/>
        </w:rPr>
        <w:t xml:space="preserve">elenco completo</w:t>
      </w:r>
      <w:r>
        <w:rPr>
          <w:rFonts w:ascii="Arial" w:cs="Arial" w:eastAsia="Arial" w:hAnsi="Arial"/>
          <w:color w:val="1B2118"/>
          <w:sz w:val="21"/>
          <w:szCs w:val="21"/>
        </w:rPr>
        <w:t xml:space="preserve"> delle utenze, domestiche e non domestiche: le utenze cambiano di continuo e nessun dato si riprende dall'anno prima.</w:t>
      </w:r>
    </w:p>
    <w:p>
      <w:pPr>
        <w:pStyle w:val="ListParagraph"/>
        <w:numPr>
          <w:ilvl w:val="0"/>
          <w:numId w:val="2"/>
        </w:numPr>
        <w:spacing w:after="70" w:line="290"/>
      </w:pPr>
      <w:r>
        <w:rPr>
          <w:rFonts w:ascii="Arial" w:cs="Arial" w:eastAsia="Arial" w:hAnsi="Arial"/>
          <w:color w:val="1B2118"/>
          <w:sz w:val="21"/>
          <w:szCs w:val="21"/>
        </w:rPr>
        <w:t xml:space="preserve">Numeri senza unità di misura; decimali con la virgola.</w:t>
      </w:r>
    </w:p>
    <w:p>
      <w:pPr>
        <w:pStyle w:val="ListParagraph"/>
        <w:numPr>
          <w:ilvl w:val="0"/>
          <w:numId w:val="2"/>
        </w:numPr>
        <w:spacing w:after="70" w:line="290"/>
      </w:pPr>
      <w:r>
        <w:rPr>
          <w:rFonts w:ascii="Arial" w:cs="Arial" w:eastAsia="Arial" w:hAnsi="Arial"/>
          <w:color w:val="1B2118"/>
          <w:sz w:val="21"/>
          <w:szCs w:val="21"/>
        </w:rPr>
        <w:t xml:space="preserve">La produzione totale deve corrispondere alla somma delle frazioni: il portale segnala le differenze oltre l'1%.</w:t>
      </w:r>
    </w:p>
    <w:p>
      <w:pPr>
        <w:pStyle w:val="ListParagraph"/>
        <w:numPr>
          <w:ilvl w:val="0"/>
          <w:numId w:val="2"/>
        </w:numPr>
        <w:spacing w:after="70" w:line="290"/>
      </w:pPr>
      <w:r>
        <w:rPr>
          <w:rFonts w:ascii="Arial" w:cs="Arial" w:eastAsia="Arial" w:hAnsi="Arial"/>
          <w:color w:val="1B2118"/>
          <w:sz w:val="21"/>
          <w:szCs w:val="21"/>
        </w:rPr>
        <w:t xml:space="preserve">Oltre 1 milione di righe o 50 MB: un CSV per foglio, con lo stesso nome, dentro uno ZIP.</w:t>
      </w:r>
    </w:p>
    <w:p>
      <w:pPr>
        <w:spacing w:after="140" w:line="30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Questo modello contiene nomi e indirizzi, a differenza del tracciato attuale. Nel portale li vedono solo Operatori e Amministratori. Ogni consultazione dell'elenco finisce nell'Audit («consultazione utenze»), così come ogni caricamento («caricamento utenze», con il solo numero di utenze) e ogni cancellazione. Nomi e indirizzi non compaiono nei rapporti di calcolo, nei fascicoli né nelle pagine pubbliche. Prima dell'uso con dati reali servono la valutazione d'impatto (DPIA) e l'accordo sul trattamento con ogni Comune: la </w:t>
      </w:r>
      <w:r>
        <w:rPr>
          <w:rFonts w:ascii="Arial" w:cs="Arial" w:eastAsia="Arial" w:hAnsi="Arial"/>
          <w:b/>
          <w:bCs/>
          <w:color w:val="1B2118"/>
          <w:sz w:val="21"/>
          <w:szCs w:val="21"/>
        </w:rPr>
        <w:t xml:space="preserve">traccia della DPIA</w:t>
      </w:r>
      <w:r>
        <w:rPr>
          <w:rFonts w:ascii="Arial" w:cs="Arial" w:eastAsia="Arial" w:hAnsi="Arial"/>
          <w:color w:val="1B2118"/>
          <w:sz w:val="21"/>
          <w:szCs w:val="21"/>
        </w:rPr>
        <w:t xml:space="preserve"> è nella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(dal 26/10/2026). Si scarica in Word, si manda al Comune, che la completa con il suo DPO nelle parti «da completare»; propone anche di caricare solo i codici delle utenze, senza nomi e indirizzi (pseudonimizzazione).</w:t>
      </w:r>
    </w:p>
    <w:p>
      <w:pPr>
        <w:spacing w:after="140" w:line="300"/>
      </w:pPr>
      <w:r>
        <w:rPr>
          <w:rFonts w:ascii="Arial" w:cs="Arial" w:eastAsia="Arial" w:hAnsi="Arial"/>
          <w:b/>
          <w:bCs/>
          <w:color w:val="1B2118"/>
          <w:sz w:val="21"/>
          <w:szCs w:val="21"/>
        </w:rPr>
        <w:t xml:space="preserve">Gestire le utenze nel portale.</w:t>
      </w:r>
      <w:r>
        <w:rPr>
          <w:rFonts w:ascii="Arial" w:cs="Arial" w:eastAsia="Arial" w:hAnsi="Arial"/>
          <w:color w:val="1B2118"/>
          <w:sz w:val="21"/>
          <w:szCs w:val="21"/>
        </w:rPr>
        <w:t xml:space="preserve"> Nel calcolo aprite il passo </w:t>
      </w:r>
      <w:r>
        <w:rPr>
          <w:rFonts w:ascii="Arial" w:cs="Arial" w:eastAsia="Arial" w:hAnsi="Arial"/>
          <w:b/>
          <w:bCs/>
          <w:color w:val="1B2118"/>
          <w:sz w:val="21"/>
          <w:szCs w:val="21"/>
        </w:rPr>
        <w:t xml:space="preserve">5a. Utenze del calcolo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In alto tre riquadri: utenze domestiche, non domestiche 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(arancione se ce ne sono).</w:t>
      </w:r>
    </w:p>
    <w:p>
      <w:pPr>
        <w:pStyle w:val="ListParagraph"/>
        <w:numPr>
          <w:ilvl w:val="0"/>
          <w:numId w:val="29"/>
        </w:numPr>
        <w:spacing w:after="70" w:line="290"/>
      </w:pPr>
      <w:r>
        <w:rPr>
          <w:rFonts w:ascii="Arial" w:cs="Arial" w:eastAsia="Arial" w:hAnsi="Arial"/>
          <w:b/>
          <w:bCs/>
          <w:color w:val="1B2118"/>
          <w:sz w:val="21"/>
          <w:szCs w:val="21"/>
        </w:rPr>
        <w:t xml:space="preserve">Carica il file dell'anno</w:t>
      </w:r>
      <w:r>
        <w:rPr>
          <w:rFonts w:ascii="Arial" w:cs="Arial" w:eastAsia="Arial" w:hAnsi="Arial"/>
          <w:color w:val="1B2118"/>
          <w:sz w:val="21"/>
          <w:szCs w:val="21"/>
        </w:rPr>
        <w:t xml:space="preserve"> e scegliete il file compilato (Excel, oppure ZIP di CSV). Il portale mostra l'anteprima: numero di utenze, eventuali </w:t>
      </w:r>
      <w:r>
        <w:rPr>
          <w:rFonts w:ascii="Arial" w:cs="Arial" w:eastAsia="Arial" w:hAnsi="Arial"/>
          <w:b/>
          <w:bCs/>
          <w:color w:val="1B2118"/>
          <w:sz w:val="21"/>
          <w:szCs w:val="21"/>
        </w:rPr>
        <w:t xml:space="preserve">errori</w:t>
      </w:r>
      <w:r>
        <w:rPr>
          <w:rFonts w:ascii="Arial" w:cs="Arial" w:eastAsia="Arial" w:hAnsi="Arial"/>
          <w:color w:val="1B2118"/>
          <w:sz w:val="21"/>
          <w:szCs w:val="21"/>
        </w:rPr>
        <w:t xml:space="preserve"> (foglio, riga e codice; con un errore il file non si carica e l'elenco attuale non cambia) e </w:t>
      </w:r>
      <w:r>
        <w:rPr>
          <w:rFonts w:ascii="Arial" w:cs="Arial" w:eastAsia="Arial" w:hAnsi="Arial"/>
          <w:b/>
          <w:bCs/>
          <w:color w:val="1B2118"/>
          <w:sz w:val="21"/>
          <w:szCs w:val="21"/>
        </w:rPr>
        <w:t xml:space="preserve">avvisi</w:t>
      </w:r>
      <w:r>
        <w:rPr>
          <w:rFonts w:ascii="Arial" w:cs="Arial" w:eastAsia="Arial" w:hAnsi="Arial"/>
          <w:color w:val="1B2118"/>
          <w:sz w:val="21"/>
          <w:szCs w:val="21"/>
        </w:rPr>
        <w:t xml:space="preserve"> (produzione totale diversa dalla somma delle frazioni, utenze senza categoria). Premete </w:t>
      </w:r>
      <w:r>
        <w:rPr>
          <w:rFonts w:ascii="Arial" w:cs="Arial" w:eastAsia="Arial" w:hAnsi="Arial"/>
          <w:b/>
          <w:bCs/>
          <w:color w:val="1B2118"/>
          <w:sz w:val="21"/>
          <w:szCs w:val="21"/>
        </w:rPr>
        <w:t xml:space="preserve">Sostituisci l'elenco</w:t>
      </w:r>
      <w:r>
        <w:rPr>
          <w:rFonts w:ascii="Arial" w:cs="Arial" w:eastAsia="Arial" w:hAnsi="Arial"/>
          <w:color w:val="1B2118"/>
          <w:sz w:val="21"/>
          <w:szCs w:val="21"/>
        </w:rPr>
        <w:t xml:space="preserve">: le utenze precedenti del calcolo sono tolte e sostituite da quelle del file.</w:t>
      </w:r>
    </w:p>
    <w:p>
      <w:pPr>
        <w:pStyle w:val="ListParagraph"/>
        <w:numPr>
          <w:ilvl w:val="0"/>
          <w:numId w:val="29"/>
        </w:numPr>
        <w:spacing w:after="70" w:line="290"/>
      </w:pPr>
      <w:r>
        <w:rPr>
          <w:rFonts w:ascii="Arial" w:cs="Arial" w:eastAsia="Arial" w:hAnsi="Arial"/>
          <w:color w:val="1B2118"/>
          <w:sz w:val="21"/>
          <w:szCs w:val="21"/>
        </w:rPr>
        <w:t xml:space="preserve">Le schede </w:t>
      </w:r>
      <w:r>
        <w:rPr>
          <w:rFonts w:ascii="Arial" w:cs="Arial" w:eastAsia="Arial" w:hAnsi="Arial"/>
          <w:b/>
          <w:bCs/>
          <w:color w:val="1B2118"/>
          <w:sz w:val="21"/>
          <w:szCs w:val="21"/>
        </w:rPr>
        <w:t xml:space="preserve">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Utenze non domestiche</w:t>
      </w:r>
      <w:r>
        <w:rPr>
          <w:rFonts w:ascii="Arial" w:cs="Arial" w:eastAsia="Arial" w:hAnsi="Arial"/>
          <w:color w:val="1B2118"/>
          <w:sz w:val="21"/>
          <w:szCs w:val="21"/>
        </w:rPr>
        <w:t xml:space="preserve"> mostrano l'elenco, 50 per pagina, con codice, nome o ragione sociale, indirizzo, categoria tariffaria e di simulazione («da assegnare» se manca), componenti o mq, produzione totale (con «≠ somma» se non corrisponde alle frazioni), indifferenziato e percentuale di differenziata.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trova per codice, nome, indirizzo o categoria.</w:t>
      </w:r>
    </w:p>
    <w:p>
      <w:pPr>
        <w:pStyle w:val="ListParagraph"/>
        <w:numPr>
          <w:ilvl w:val="0"/>
          <w:numId w:val="29"/>
        </w:numPr>
        <w:spacing w:after="70" w:line="290"/>
      </w:pPr>
      <w:r>
        <w:rPr>
          <w:rFonts w:ascii="Arial" w:cs="Arial" w:eastAsia="Arial" w:hAnsi="Arial"/>
          <w:color w:val="1B2118"/>
          <w:sz w:val="21"/>
          <w:szCs w:val="21"/>
        </w:rPr>
        <w:t xml:space="preserve">Toccate il </w:t>
      </w:r>
      <w:r>
        <w:rPr>
          <w:rFonts w:ascii="Arial" w:cs="Arial" w:eastAsia="Arial" w:hAnsi="Arial"/>
          <w:b/>
          <w:bCs/>
          <w:color w:val="1B2118"/>
          <w:sz w:val="21"/>
          <w:szCs w:val="21"/>
        </w:rPr>
        <w:t xml:space="preserve">codice</w:t>
      </w:r>
      <w:r>
        <w:rPr>
          <w:rFonts w:ascii="Arial" w:cs="Arial" w:eastAsia="Arial" w:hAnsi="Arial"/>
          <w:color w:val="1B2118"/>
          <w:sz w:val="21"/>
          <w:szCs w:val="21"/>
        </w:rPr>
        <w:t xml:space="preserve"> di un'utenza per aprire il suo modulo: tutti i campi, le frazioni con kg e svuotamenti, gli errori e gli avvisi in fondo. La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segue la tariffaria finché non la cambiate a mano. Il pulsante </w:t>
      </w:r>
      <w:r>
        <w:rPr>
          <w:rFonts w:ascii="Arial" w:cs="Arial" w:eastAsia="Arial" w:hAnsi="Arial"/>
          <w:b/>
          <w:bCs/>
          <w:color w:val="1B2118"/>
          <w:sz w:val="21"/>
          <w:szCs w:val="21"/>
        </w:rPr>
        <w:t xml:space="preserve">= somma delle frazioni</w:t>
      </w:r>
      <w:r>
        <w:rPr>
          <w:rFonts w:ascii="Arial" w:cs="Arial" w:eastAsia="Arial" w:hAnsi="Arial"/>
          <w:color w:val="1B2118"/>
          <w:sz w:val="21"/>
          <w:szCs w:val="21"/>
        </w:rPr>
        <w:t xml:space="preserve"> riporta la produzione totale alla somma.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Elimina utenza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b/>
          <w:bCs/>
          <w:color w:val="1B2118"/>
          <w:sz w:val="21"/>
          <w:szCs w:val="21"/>
        </w:rPr>
        <w:t xml:space="preserve">+ Nuova utenza domestica / non domestica</w:t>
      </w:r>
      <w:r>
        <w:rPr>
          <w:rFonts w:ascii="Arial" w:cs="Arial" w:eastAsia="Arial" w:hAnsi="Arial"/>
          <w:color w:val="1B2118"/>
          <w:sz w:val="21"/>
          <w:szCs w:val="21"/>
        </w:rPr>
        <w:t xml:space="preserve"> apre lo stesso modulo vuoto. </w:t>
      </w:r>
      <w:r>
        <w:rPr>
          <w:rFonts w:ascii="Arial" w:cs="Arial" w:eastAsia="Arial" w:hAnsi="Arial"/>
          <w:b/>
          <w:bCs/>
          <w:color w:val="1B2118"/>
          <w:sz w:val="21"/>
          <w:szCs w:val="21"/>
        </w:rPr>
        <w:t xml:space="preserve">Svuota l'elenco</w:t>
      </w:r>
      <w:r>
        <w:rPr>
          <w:rFonts w:ascii="Arial" w:cs="Arial" w:eastAsia="Arial" w:hAnsi="Arial"/>
          <w:color w:val="1B2118"/>
          <w:sz w:val="21"/>
          <w:szCs w:val="21"/>
        </w:rPr>
        <w:t xml:space="preserve"> toglie tutte le utenze.</w:t>
      </w:r>
    </w:p>
    <w:p>
      <w:pPr>
        <w:spacing w:after="60"/>
      </w:pPr>
    </w:p>
    <w:p>
      <w:pPr>
        <w:spacing w:after="140" w:line="300"/>
      </w:pPr>
      <w:r>
        <w:rPr>
          <w:rFonts w:ascii="Arial" w:cs="Arial" w:eastAsia="Arial" w:hAnsi="Arial"/>
          <w:color w:val="1B2118"/>
          <w:sz w:val="21"/>
          <w:szCs w:val="21"/>
        </w:rPr>
        <w:t xml:space="preserve">Ogni modifica azzera il risultato della bozza (va premuto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In un calcolo confermato il passo è in sola lettura. Nell'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le operazioni compaiono come «caricamento utenze» (con il numero di utenze), «consultazione utenze» (con la ricerca), «inserimento», «modifica» e «cancellazione utenza» (con il codice e i campi cambiati), senza nomi né indirizzi.</w:t>
      </w:r>
    </w:p>
    <w:p>
      <w:pPr>
        <w:spacing w:after="140" w:line="300"/>
      </w:pPr>
      <w:r>
        <w:rPr>
          <w:rFonts w:ascii="Arial" w:cs="Arial" w:eastAsia="Arial" w:hAnsi="Arial"/>
          <w:b/>
          <w:bCs/>
          <w:color w:val="1B2118"/>
          <w:sz w:val="21"/>
          <w:szCs w:val="21"/>
        </w:rPr>
        <w:t xml:space="preserve">Calcolo di prova.</w:t>
      </w:r>
      <w:r>
        <w:rPr>
          <w:rFonts w:ascii="Arial" w:cs="Arial" w:eastAsia="Arial" w:hAnsi="Arial"/>
          <w:color w:val="1B2118"/>
          <w:sz w:val="21"/>
          <w:szCs w:val="21"/>
        </w:rPr>
        <w:t xml:space="preserve"> Dal 22/10/2026 c'è il calcolo «PROVA Banca Dati Utenze - dati casuali (non confermare)» sul Progetto CWP-2026-003, con 20 utenze domestiche e 20 non domestiche inventate (codici PROVA-…): serve a provare il passo 5a e si può eliminare quando non serve più.</w:t>
      </w:r>
    </w:p>
    <w:p>
      <w:pPr>
        <w:spacing w:after="140" w:line="300"/>
      </w:pPr>
      <w:r>
        <w:rPr>
          <w:rFonts w:ascii="Arial" w:cs="Arial" w:eastAsia="Arial" w:hAnsi="Arial"/>
          <w:b/>
          <w:bCs/>
          <w:color w:val="1B2118"/>
          <w:sz w:val="21"/>
          <w:szCs w:val="21"/>
        </w:rPr>
        <w:t xml:space="preserve">Come «Calcola» usa le utenze (dal 23/10/2026).</w:t>
      </w:r>
      <w:r>
        <w:rPr>
          <w:rFonts w:ascii="Arial" w:cs="Arial" w:eastAsia="Arial" w:hAnsi="Arial"/>
          <w:color w:val="1B2118"/>
          <w:sz w:val="21"/>
          <w:szCs w:val="21"/>
        </w:rPr>
        <w:t xml:space="preserve"> Se il calcolo ha utenze nel passo 5a, il motore usa quelle; i conferimenti del passo </w:t>
      </w:r>
      <w:r>
        <w:rPr>
          <w:rFonts w:ascii="Arial" w:cs="Arial" w:eastAsia="Arial" w:hAnsi="Arial"/>
          <w:b/>
          <w:bCs/>
          <w:color w:val="1B2118"/>
          <w:sz w:val="21"/>
          <w:szCs w:val="21"/>
        </w:rPr>
        <w:t xml:space="preserve">5b. Conferimenti (tracciato)</w:t>
      </w:r>
      <w:r>
        <w:rPr>
          <w:rFonts w:ascii="Arial" w:cs="Arial" w:eastAsia="Arial" w:hAnsi="Arial"/>
          <w:color w:val="1B2118"/>
          <w:sz w:val="21"/>
          <w:szCs w:val="21"/>
        </w:rPr>
        <w:t xml:space="preserve"> valgono solo per i calcoli senza utenze (il 5b lo ricorda con un riquadro arancione). I beni a riuso vengono sempre dal passo 5b.</w:t>
      </w:r>
    </w:p>
    <w:p>
      <w:pPr>
        <w:pStyle w:val="ListParagraph"/>
        <w:numPr>
          <w:ilvl w:val="0"/>
          <w:numId w:val="30"/>
        </w:numPr>
        <w:spacing w:after="70" w:line="290"/>
      </w:pPr>
      <w:r>
        <w:rPr>
          <w:rFonts w:ascii="Arial" w:cs="Arial" w:eastAsia="Arial" w:hAnsi="Arial"/>
          <w:color w:val="1B2118"/>
          <w:sz w:val="21"/>
          <w:szCs w:val="21"/>
        </w:rPr>
        <w:t xml:space="preserve">Ogni utenza va nella classe della </w:t>
      </w:r>
      <w:r>
        <w:rPr>
          <w:rFonts w:ascii="Arial" w:cs="Arial" w:eastAsia="Arial" w:hAnsi="Arial"/>
          <w:b/>
          <w:bCs/>
          <w:color w:val="1B2118"/>
          <w:sz w:val="21"/>
          <w:szCs w:val="21"/>
        </w:rPr>
        <w:t xml:space="preserve">delibera</w:t>
      </w:r>
      <w:r>
        <w:rPr>
          <w:rFonts w:ascii="Arial" w:cs="Arial" w:eastAsia="Arial" w:hAnsi="Arial"/>
          <w:color w:val="1B2118"/>
          <w:sz w:val="21"/>
          <w:szCs w:val="21"/>
        </w:rPr>
        <w:t xml:space="preserve"> (passo 3) indicata dalla sua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da lì prende i rifiuti attesi. Le categorie devono essere scritte come le classi della delibera (es. «2» e non «2 componenti»).</w:t>
      </w:r>
    </w:p>
    <w:p>
      <w:pPr>
        <w:pStyle w:val="ListParagraph"/>
        <w:numPr>
          <w:ilvl w:val="0"/>
          <w:numId w:val="30"/>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kg</w:t>
      </w:r>
      <w:r>
        <w:rPr>
          <w:rFonts w:ascii="Arial" w:cs="Arial" w:eastAsia="Arial" w:hAnsi="Arial"/>
          <w:color w:val="1B2118"/>
          <w:sz w:val="21"/>
          <w:szCs w:val="21"/>
        </w:rPr>
        <w:t xml:space="preserve"> di ogni frazione sono i rifiuti prodotti dall'utenza e si usano così come sono; gli svuotamenti sono solo informativi.</w:t>
      </w:r>
    </w:p>
    <w:p>
      <w:pPr>
        <w:pStyle w:val="ListParagraph"/>
        <w:numPr>
          <w:ilvl w:val="0"/>
          <w:numId w:val="30"/>
        </w:numPr>
        <w:spacing w:after="70" w:line="290"/>
      </w:pPr>
      <w:r>
        <w:rPr>
          <w:rFonts w:ascii="Arial" w:cs="Arial" w:eastAsia="Arial" w:hAnsi="Arial"/>
          <w:color w:val="1B2118"/>
          <w:sz w:val="21"/>
          <w:szCs w:val="21"/>
        </w:rPr>
        <w:t xml:space="preserve">Per ogni utenza contano solo le frazioni con un valore, anche 0. Una frazione lasciata vuota non entra nel calcolo di quell'utenza (né nei rifiuti attesi né in quelli prodotti).</w:t>
      </w:r>
    </w:p>
    <w:p>
      <w:pPr>
        <w:pStyle w:val="ListParagraph"/>
        <w:numPr>
          <w:ilvl w:val="0"/>
          <w:numId w:val="30"/>
        </w:numPr>
        <w:spacing w:after="70" w:line="290"/>
      </w:pPr>
      <w:r>
        <w:rPr>
          <w:rFonts w:ascii="Arial" w:cs="Arial" w:eastAsia="Arial" w:hAnsi="Arial"/>
          <w:color w:val="1B2118"/>
          <w:sz w:val="21"/>
          <w:szCs w:val="21"/>
        </w:rPr>
        <w:t xml:space="preserve">Le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o con una categoria che </w:t>
      </w:r>
      <w:r>
        <w:rPr>
          <w:rFonts w:ascii="Arial" w:cs="Arial" w:eastAsia="Arial" w:hAnsi="Arial"/>
          <w:b/>
          <w:bCs/>
          <w:color w:val="1B2118"/>
          <w:sz w:val="21"/>
          <w:szCs w:val="21"/>
        </w:rPr>
        <w:t xml:space="preserve">non è nella delibera</w:t>
      </w:r>
      <w:r>
        <w:rPr>
          <w:rFonts w:ascii="Arial" w:cs="Arial" w:eastAsia="Arial" w:hAnsi="Arial"/>
          <w:color w:val="1B2118"/>
          <w:sz w:val="21"/>
          <w:szCs w:val="21"/>
        </w:rPr>
        <w:t xml:space="preserve"> restano fuori dal calcolo.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(in fondo al passo 5a e nei Risultati) le segnalano in rosso, i Risultati dicono quante sono state escluse e il calcolo </w:t>
      </w:r>
      <w:r>
        <w:rPr>
          <w:rFonts w:ascii="Arial" w:cs="Arial" w:eastAsia="Arial" w:hAnsi="Arial"/>
          <w:b/>
          <w:bCs/>
          <w:color w:val="1B2118"/>
          <w:sz w:val="21"/>
          <w:szCs w:val="21"/>
        </w:rPr>
        <w:t xml:space="preserve">non si può confermare</w:t>
      </w:r>
      <w:r>
        <w:rPr>
          <w:rFonts w:ascii="Arial" w:cs="Arial" w:eastAsia="Arial" w:hAnsi="Arial"/>
          <w:color w:val="1B2118"/>
          <w:sz w:val="21"/>
          <w:szCs w:val="21"/>
        </w:rPr>
        <w:t xml:space="preserve"> finché non le correggete dal modulo dell'utenza (o non aggiungete la classe nel passo 3).</w:t>
      </w:r>
    </w:p>
    <w:p>
      <w:pPr>
        <w:pStyle w:val="ListParagraph"/>
        <w:numPr>
          <w:ilvl w:val="0"/>
          <w:numId w:val="30"/>
        </w:numPr>
        <w:spacing w:after="70" w:line="290"/>
      </w:pPr>
      <w:r>
        <w:rPr>
          <w:rFonts w:ascii="Arial" w:cs="Arial" w:eastAsia="Arial" w:hAnsi="Arial"/>
          <w:color w:val="1B2118"/>
          <w:sz w:val="21"/>
          <w:szCs w:val="21"/>
        </w:rPr>
        <w:t xml:space="preserve">Se cambiate le utenze dopo «Calcola», il risultato si azzera: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prima di confermare (il database rifiuta la conferma se le utenze non sono quelle usate dal calcolo).</w:t>
      </w:r>
    </w:p>
    <w:p>
      <w:pPr>
        <w:spacing w:after="60"/>
      </w:pPr>
    </w:p>
    <w:p>
      <w:pPr>
        <w:spacing w:after="140" w:line="300"/>
      </w:pPr>
      <w:r>
        <w:rPr>
          <w:rFonts w:ascii="Arial" w:cs="Arial" w:eastAsia="Arial" w:hAnsi="Arial"/>
          <w:color w:val="1B2118"/>
          <w:sz w:val="21"/>
          <w:szCs w:val="21"/>
        </w:rPr>
        <w:t xml:space="preserve">Nei </w:t>
      </w:r>
      <w:r>
        <w:rPr>
          <w:rFonts w:ascii="Arial" w:cs="Arial" w:eastAsia="Arial" w:hAnsi="Arial"/>
          <w:b/>
          <w:bCs/>
          <w:color w:val="1B2118"/>
          <w:sz w:val="21"/>
          <w:szCs w:val="21"/>
        </w:rPr>
        <w:t xml:space="preserve">Risultati</w:t>
      </w:r>
      <w:r>
        <w:rPr>
          <w:rFonts w:ascii="Arial" w:cs="Arial" w:eastAsia="Arial" w:hAnsi="Arial"/>
          <w:color w:val="1B2118"/>
          <w:sz w:val="21"/>
          <w:szCs w:val="21"/>
        </w:rPr>
        <w:t xml:space="preserve"> una riga indica la Banca Dati usata («utenze del passo 5a» o «conferimenti del tracciato»); lo stesso compare nel CSV di riepilogo e nel rapporto PDF. Il dettaglio per utenza contiene solo i codici, non nomi né indirizzi.</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31"/>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2"/>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3"/>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3"/>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3"/>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4"/>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5"/>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5"/>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6"/>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6"/>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7"/>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8"/>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8"/>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9"/>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9"/>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41"/>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4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8"/>
        <w:gridCol w:w="2010"/>
        <w:gridCol w:w="5190"/>
      </w:tblGrid>
      <w:tr>
        <w:trPr>
          <w:tblHeader/>
        </w:trPr>
        <w:tc>
          <w:tcPr>
            <w:tcW w:type="dxa" w:w="24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1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DPIA – Banca Dati Utenze (traccia)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Valutazione d'impatto sulla protezione dei dati (art. 35 GDPR) per le utenze: si scarica in Word e si manda al Comune, che la completa con il suo DPO prima di caricare utenze reali</w:t>
            </w:r>
          </w:p>
        </w:tc>
      </w:tr>
      <w:tr>
        <w:trPr>
          <w:cantSplit/>
        </w:trPr>
        <w:tc>
          <w:tcPr>
            <w:tcW w:type="dxa" w:w="2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Marketing: Comuni, gestori e campagne</w:t>
      </w:r>
      <w:bookmarkEnd w:id="1"/>
    </w:p>
    <w:p>
      <w:pPr>
        <w:spacing w:after="140" w:line="30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(solo Amministratori). Serve a far conoscere il Programma ai Comuni e ai gestori del servizio rifiuti e a raccogliere le richieste di registrazione.</w:t>
      </w:r>
    </w:p>
    <w:p>
      <w:pPr>
        <w:pStyle w:val="Heading2"/>
        <w:keepNext/>
        <w:spacing w:after="120" w:before="240"/>
      </w:pPr>
      <w:r>
        <w:rPr>
          <w:rFonts w:ascii="Arial" w:cs="Arial" w:eastAsia="Arial" w:hAnsi="Arial"/>
          <w:b/>
          <w:bCs/>
          <w:color w:val="2F5D3A"/>
          <w:sz w:val="25"/>
          <w:szCs w:val="25"/>
        </w:rPr>
        <w:t xml:space="preserve">Le banche dati</w:t>
      </w:r>
    </w:p>
    <w:p>
      <w:pPr>
        <w:pStyle w:val="ListParagraph"/>
        <w:numPr>
          <w:ilvl w:val="0"/>
          <w:numId w:val="2"/>
        </w:numPr>
        <w:spacing w:after="70" w:line="290"/>
      </w:pPr>
      <w:r>
        <w:rPr>
          <w:rFonts w:ascii="Arial" w:cs="Arial" w:eastAsia="Arial" w:hAnsi="Arial"/>
          <w:b/>
          <w:bCs/>
          <w:color w:val="1B2118"/>
          <w:sz w:val="21"/>
          <w:szCs w:val="21"/>
        </w:rPr>
        <w:t xml:space="preserve">Comuni</w:t>
      </w:r>
      <w:r>
        <w:rPr>
          <w:rFonts w:ascii="Arial" w:cs="Arial" w:eastAsia="Arial" w:hAnsi="Arial"/>
          <w:color w:val="1B2118"/>
          <w:sz w:val="21"/>
          <w:szCs w:val="21"/>
        </w:rPr>
        <w:t xml:space="preserve">: tutti i Comuni italiani con regione, provincia e abitanti; PEC, email generica, sito e referenti (sindaco, responsabili di tributi, ambiente, ufficio finanziario e tecnico) dall'Indice dei domicili digitali della PA (IndicePA).</w:t>
      </w:r>
    </w:p>
    <w:p>
      <w:pPr>
        <w:pStyle w:val="ListParagraph"/>
        <w:numPr>
          <w:ilvl w:val="0"/>
          <w:numId w:val="2"/>
        </w:numPr>
        <w:spacing w:after="70" w:line="290"/>
      </w:pPr>
      <w:r>
        <w:rPr>
          <w:rFonts w:ascii="Arial" w:cs="Arial" w:eastAsia="Arial" w:hAnsi="Arial"/>
          <w:b/>
          <w:bCs/>
          <w:color w:val="1B2118"/>
          <w:sz w:val="21"/>
          <w:szCs w:val="21"/>
        </w:rPr>
        <w:t xml:space="preserve">Gestori</w:t>
      </w:r>
      <w:r>
        <w:rPr>
          <w:rFonts w:ascii="Arial" w:cs="Arial" w:eastAsia="Arial" w:hAnsi="Arial"/>
          <w:color w:val="1B2118"/>
          <w:sz w:val="21"/>
          <w:szCs w:val="21"/>
        </w:rPr>
        <w:t xml:space="preserve">: le imprese iscritte all'Albo Nazionale Gestori Ambientali in categoria 1 (raccolta e trasporto dei rifiuti urbani), pubbliche e private, con le attività svolte (raccolta, gestione della tariffa), PEC, email e referenti (direttore tecnico, direttore generale, amministratore).</w:t>
      </w:r>
    </w:p>
    <w:p>
      <w:pPr>
        <w:spacing w:after="140" w:line="300"/>
      </w:pPr>
      <w:r>
        <w:rPr>
          <w:rFonts w:ascii="Arial" w:cs="Arial" w:eastAsia="Arial" w:hAnsi="Arial"/>
          <w:color w:val="1B2118"/>
          <w:sz w:val="21"/>
          <w:szCs w:val="21"/>
        </w:rPr>
        <w:t xml:space="preserve">Filtrate per regione, provincia, abitanti, «con email generica», natura e attività; cercate per nome. Aprendo una riga si vede la scheda: potete correggere email, sito, attività e note e aggiungere o togliere referenti (per ognuno indicate la fonte, per esempio il sito dell'ente).</w:t>
      </w:r>
    </w:p>
    <w:p>
      <w:pPr>
        <w:pStyle w:val="Heading2"/>
        <w:keepNext/>
        <w:spacing w:after="120" w:before="240"/>
      </w:pPr>
      <w:r>
        <w:rPr>
          <w:rFonts w:ascii="Arial" w:cs="Arial" w:eastAsia="Arial" w:hAnsi="Arial"/>
          <w:b/>
          <w:bCs/>
          <w:color w:val="2F5D3A"/>
          <w:sz w:val="25"/>
          <w:szCs w:val="25"/>
        </w:rPr>
        <w:t xml:space="preserve">Aggiornare le banche dati</w:t>
      </w:r>
    </w:p>
    <w:p>
      <w:pPr>
        <w:spacing w:after="140" w:line="30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Importazioni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Aggiorna i Comuni</w:t>
      </w:r>
      <w:r>
        <w:rPr>
          <w:rFonts w:ascii="Arial" w:cs="Arial" w:eastAsia="Arial" w:hAnsi="Arial"/>
          <w:color w:val="1B2118"/>
          <w:sz w:val="21"/>
          <w:szCs w:val="21"/>
        </w:rPr>
        <w:t xml:space="preserve"> (qualche minuto: elenco ISTAT, poi IndicePA e gli uffici dei Comuni a blocchi di 400) e </w:t>
      </w:r>
      <w:r>
        <w:rPr>
          <w:rFonts w:ascii="Arial" w:cs="Arial" w:eastAsia="Arial" w:hAnsi="Arial"/>
          <w:b/>
          <w:bCs/>
          <w:color w:val="1B2118"/>
          <w:sz w:val="21"/>
          <w:szCs w:val="21"/>
        </w:rPr>
        <w:t xml:space="preserve">Aggiorna i gestori</w:t>
      </w:r>
      <w:r>
        <w:rPr>
          <w:rFonts w:ascii="Arial" w:cs="Arial" w:eastAsia="Arial" w:hAnsi="Arial"/>
          <w:color w:val="1B2118"/>
          <w:sz w:val="21"/>
          <w:szCs w:val="21"/>
        </w:rPr>
        <w:t xml:space="preserve"> (tutte le sezioni dell'Albo o una sola, una provincia alla volta: circa cinque minuti in tutto). Se IndicePA non risponde (capita: «App offline») ripetete l'aggiornamento più tardi: i dati già letti restano. Il diario mostra cosa è stato letto. Le modifiche fatte a mano restano, salvo nuovi valori dalla stessa fonte. Per i gestori privati le attività e i referenti si completano dalle schede, verificando sui loro siti.</w:t>
      </w:r>
    </w:p>
    <w:p>
      <w:pPr>
        <w:pStyle w:val="Heading2"/>
        <w:keepNext/>
        <w:spacing w:after="120" w:before="240"/>
      </w:pPr>
      <w:r>
        <w:rPr>
          <w:rFonts w:ascii="Arial" w:cs="Arial" w:eastAsia="Arial" w:hAnsi="Arial"/>
          <w:b/>
          <w:bCs/>
          <w:color w:val="2F5D3A"/>
          <w:sz w:val="25"/>
          <w:szCs w:val="25"/>
        </w:rPr>
        <w:t xml:space="preserve">Creare e inviare una campagna</w:t>
      </w:r>
    </w:p>
    <w:p>
      <w:pPr>
        <w:pStyle w:val="ListParagraph"/>
        <w:numPr>
          <w:ilvl w:val="0"/>
          <w:numId w:val="42"/>
        </w:numPr>
        <w:spacing w:after="70" w:line="29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Campagne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Nuova campagna</w:t>
      </w:r>
      <w:r>
        <w:rPr>
          <w:rFonts w:ascii="Arial" w:cs="Arial" w:eastAsia="Arial" w:hAnsi="Arial"/>
          <w:color w:val="1B2118"/>
          <w:sz w:val="21"/>
          <w:szCs w:val="21"/>
        </w:rPr>
        <w:t xml:space="preserve">: titolo interno, oggetto dell'email, testo (paragrafi separati da una riga vuota) e grafica dell'intestazione. A destra l'anteprima: sotto il vostro testo l'email aggiunge il riquadro «7, 10 o 21 anni» e il pulsante </w:t>
      </w:r>
      <w:r>
        <w:rPr>
          <w:rFonts w:ascii="Arial" w:cs="Arial" w:eastAsia="Arial" w:hAnsi="Arial"/>
          <w:b/>
          <w:bCs/>
          <w:color w:val="1B2118"/>
          <w:sz w:val="21"/>
          <w:szCs w:val="21"/>
        </w:rPr>
        <w:t xml:space="preserve">Approfondisci e simula il tuo Comune</w:t>
      </w:r>
      <w:r>
        <w:rPr>
          <w:rFonts w:ascii="Arial" w:cs="Arial" w:eastAsia="Arial" w:hAnsi="Arial"/>
          <w:color w:val="1B2118"/>
          <w:sz w:val="21"/>
          <w:szCs w:val="21"/>
        </w:rPr>
        <w:t xml:space="preserve">.</w:t>
      </w:r>
    </w:p>
    <w:p>
      <w:pPr>
        <w:pStyle w:val="ListParagraph"/>
        <w:numPr>
          <w:ilvl w:val="0"/>
          <w:numId w:val="42"/>
        </w:numPr>
        <w:spacing w:after="70" w:line="290"/>
      </w:pPr>
      <w:r>
        <w:rPr>
          <w:rFonts w:ascii="Arial" w:cs="Arial" w:eastAsia="Arial" w:hAnsi="Arial"/>
          <w:b/>
          <w:bCs/>
          <w:color w:val="1B2118"/>
          <w:sz w:val="21"/>
          <w:szCs w:val="21"/>
        </w:rPr>
        <w:t xml:space="preserve">Invia una prova a me</w:t>
      </w:r>
      <w:r>
        <w:rPr>
          <w:rFonts w:ascii="Arial" w:cs="Arial" w:eastAsia="Arial" w:hAnsi="Arial"/>
          <w:color w:val="1B2118"/>
          <w:sz w:val="21"/>
          <w:szCs w:val="21"/>
        </w:rPr>
        <w:t xml:space="preserve">: l'email arriva al vostro indirizzo.</w:t>
      </w:r>
    </w:p>
    <w:p>
      <w:pPr>
        <w:pStyle w:val="ListParagraph"/>
        <w:numPr>
          <w:ilvl w:val="0"/>
          <w:numId w:val="42"/>
        </w:numPr>
        <w:spacing w:after="70" w:line="290"/>
      </w:pPr>
      <w:r>
        <w:rPr>
          <w:rFonts w:ascii="Arial" w:cs="Arial" w:eastAsia="Arial" w:hAnsi="Arial"/>
          <w:b/>
          <w:bCs/>
          <w:color w:val="1B2118"/>
          <w:sz w:val="21"/>
          <w:szCs w:val="21"/>
        </w:rPr>
        <w:t xml:space="preserve">Destinatari</w:t>
      </w:r>
      <w:r>
        <w:rPr>
          <w:rFonts w:ascii="Arial" w:cs="Arial" w:eastAsia="Arial" w:hAnsi="Arial"/>
          <w:color w:val="1B2118"/>
          <w:sz w:val="21"/>
          <w:szCs w:val="21"/>
        </w:rPr>
        <w:t xml:space="preserve">: scegliete Comuni e/o gestori, regioni, abitanti e (per i gestori) natura e attività, poi </w:t>
      </w:r>
      <w:r>
        <w:rPr>
          <w:rFonts w:ascii="Arial" w:cs="Arial" w:eastAsia="Arial" w:hAnsi="Arial"/>
          <w:b/>
          <w:bCs/>
          <w:color w:val="1B2118"/>
          <w:sz w:val="21"/>
          <w:szCs w:val="21"/>
        </w:rPr>
        <w:t xml:space="preserve">Cerca i destinatari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 Entrano solo gli enti con </w:t>
      </w:r>
      <w:r>
        <w:rPr>
          <w:rFonts w:ascii="Arial" w:cs="Arial" w:eastAsia="Arial" w:hAnsi="Arial"/>
          <w:b/>
          <w:bCs/>
          <w:color w:val="1B2118"/>
          <w:sz w:val="21"/>
          <w:szCs w:val="21"/>
        </w:rPr>
        <w:t xml:space="preserve">email generica</w:t>
      </w:r>
      <w:r>
        <w:rPr>
          <w:rFonts w:ascii="Arial" w:cs="Arial" w:eastAsia="Arial" w:hAnsi="Arial"/>
          <w:color w:val="1B2118"/>
          <w:sz w:val="21"/>
          <w:szCs w:val="21"/>
        </w:rPr>
        <w:t xml:space="preserve">: le PEC non si usano mai; sono esclusi gli indirizzi che hanno chiesto di non ricevere altre comunicazioni.</w:t>
      </w:r>
    </w:p>
    <w:p>
      <w:pPr>
        <w:pStyle w:val="ListParagraph"/>
        <w:numPr>
          <w:ilvl w:val="0"/>
          <w:numId w:val="42"/>
        </w:numPr>
        <w:spacing w:after="70" w:line="290"/>
      </w:pP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l'invio procede a blocchi; i contatori mostrano da inviare, inviati, errori, esclusi, visite alla pagina, simulazioni e richieste.</w:t>
      </w:r>
    </w:p>
    <w:p>
      <w:pPr>
        <w:spacing w:after="60"/>
      </w:pPr>
    </w:p>
    <w:p>
      <w:pPr>
        <w:spacing w:after="140" w:line="300"/>
      </w:pPr>
      <w:r>
        <w:rPr>
          <w:rFonts w:ascii="Arial" w:cs="Arial" w:eastAsia="Arial" w:hAnsi="Arial"/>
          <w:color w:val="1B2118"/>
          <w:sz w:val="21"/>
          <w:szCs w:val="21"/>
        </w:rPr>
        <w:t xml:space="preserve">Ogni email contiene l'informativa e il collegamento per non ricevere altre comunicazioni. Finché il dominio email della Fondazione non è verificato le email arrivano solo al titolare del servizio email; il piano attuale ne consente 100 al giorno.</w:t>
      </w:r>
    </w:p>
    <w:p>
      <w:pPr>
        <w:pStyle w:val="Heading2"/>
        <w:keepNext/>
        <w:spacing w:after="120" w:before="240"/>
      </w:pPr>
      <w:r>
        <w:rPr>
          <w:rFonts w:ascii="Arial" w:cs="Arial" w:eastAsia="Arial" w:hAnsi="Arial"/>
          <w:b/>
          <w:bCs/>
          <w:color w:val="2F5D3A"/>
          <w:sz w:val="25"/>
          <w:szCs w:val="25"/>
        </w:rPr>
        <w:t xml:space="preserve">La pagina «Approfondisci»</w:t>
      </w:r>
    </w:p>
    <w:p>
      <w:pPr>
        <w:spacing w:after="140" w:line="300"/>
      </w:pPr>
      <w:r>
        <w:rPr>
          <w:rFonts w:ascii="Arial" w:cs="Arial" w:eastAsia="Arial" w:hAnsi="Arial"/>
          <w:color w:val="1B2118"/>
          <w:sz w:val="21"/>
          <w:szCs w:val="21"/>
        </w:rPr>
        <w:t xml:space="preserve">Il pulsante dell'email apre una pagina pubblica (senza accesso) con il nome del Comune: presenta il Programma, chiede abitanti, rifiuti totali e secco residuo (tonnellate all'anno), durata (7, 10 o 21 anni) e tipo di progetto (Caso 1 volontario o Caso 2 da bando di gara) e mostra crediti, ricavi, costi e margine anno per anno con un grafico e le ipotesi della stima. Si può scaricare il </w:t>
      </w:r>
      <w:r>
        <w:rPr>
          <w:rFonts w:ascii="Arial" w:cs="Arial" w:eastAsia="Arial" w:hAnsi="Arial"/>
          <w:b/>
          <w:bCs/>
          <w:color w:val="1B2118"/>
          <w:sz w:val="21"/>
          <w:szCs w:val="21"/>
        </w:rPr>
        <w:t xml:space="preserve">fascicolo informativo</w:t>
      </w:r>
      <w:r>
        <w:rPr>
          <w:rFonts w:ascii="Arial" w:cs="Arial" w:eastAsia="Arial" w:hAnsi="Arial"/>
          <w:color w:val="1B2118"/>
          <w:sz w:val="21"/>
          <w:szCs w:val="21"/>
        </w:rPr>
        <w:t xml:space="preserve"> (PDF) e inviare la </w:t>
      </w:r>
      <w:r>
        <w:rPr>
          <w:rFonts w:ascii="Arial" w:cs="Arial" w:eastAsia="Arial" w:hAnsi="Arial"/>
          <w:b/>
          <w:bCs/>
          <w:color w:val="1B2118"/>
          <w:sz w:val="21"/>
          <w:szCs w:val="21"/>
        </w:rPr>
        <w:t xml:space="preserve">richiesta di registrazione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Lettura dei siti</w:t>
      </w:r>
    </w:p>
    <w:p>
      <w:pPr>
        <w:spacing w:after="140" w:line="30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Importazioni → Lettura dei siti</w:t>
      </w:r>
      <w:r>
        <w:rPr>
          <w:rFonts w:ascii="Arial" w:cs="Arial" w:eastAsia="Arial" w:hAnsi="Arial"/>
          <w:color w:val="1B2118"/>
          <w:sz w:val="21"/>
          <w:szCs w:val="21"/>
        </w:rPr>
        <w:t xml:space="preserve"> il portale legge da solo il sito di ogni Comune e gestore e completa i dati che mancano:</w:t>
      </w:r>
    </w:p>
    <w:p>
      <w:pPr>
        <w:pStyle w:val="ListParagraph"/>
        <w:numPr>
          <w:ilvl w:val="0"/>
          <w:numId w:val="2"/>
        </w:numPr>
        <w:spacing w:after="70" w:line="290"/>
      </w:pPr>
      <w:r>
        <w:rPr>
          <w:rFonts w:ascii="Arial" w:cs="Arial" w:eastAsia="Arial" w:hAnsi="Arial"/>
          <w:color w:val="1B2118"/>
          <w:sz w:val="21"/>
          <w:szCs w:val="21"/>
        </w:rPr>
        <w:t xml:space="preserve">email generica (solo sul dominio dell'ente), PEC e telefono;</w:t>
      </w:r>
    </w:p>
    <w:p>
      <w:pPr>
        <w:pStyle w:val="ListParagraph"/>
        <w:numPr>
          <w:ilvl w:val="0"/>
          <w:numId w:val="2"/>
        </w:numPr>
        <w:spacing w:after="70" w:line="290"/>
      </w:pPr>
      <w:r>
        <w:rPr>
          <w:rFonts w:ascii="Arial" w:cs="Arial" w:eastAsia="Arial" w:hAnsi="Arial"/>
          <w:color w:val="1B2118"/>
          <w:sz w:val="21"/>
          <w:szCs w:val="21"/>
        </w:rPr>
        <w:t xml:space="preserve">per i Comuni gli uffici </w:t>
      </w:r>
      <w:r>
        <w:rPr>
          <w:rFonts w:ascii="Arial" w:cs="Arial" w:eastAsia="Arial" w:hAnsi="Arial"/>
          <w:b/>
          <w:bCs/>
          <w:color w:val="1B2118"/>
          <w:sz w:val="21"/>
          <w:szCs w:val="21"/>
        </w:rPr>
        <w:t xml:space="preserve">tributi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ambiente</w:t>
      </w:r>
      <w:r>
        <w:rPr>
          <w:rFonts w:ascii="Arial" w:cs="Arial" w:eastAsia="Arial" w:hAnsi="Arial"/>
          <w:color w:val="1B2118"/>
          <w:sz w:val="21"/>
          <w:szCs w:val="21"/>
        </w:rPr>
        <w:t xml:space="preserve">, con email, telefono e, quando la pagina lo scrive come «Responsabile: …», il nome del responsabile;</w:t>
      </w:r>
    </w:p>
    <w:p>
      <w:pPr>
        <w:pStyle w:val="ListParagraph"/>
        <w:numPr>
          <w:ilvl w:val="0"/>
          <w:numId w:val="2"/>
        </w:numPr>
        <w:spacing w:after="70" w:line="290"/>
      </w:pPr>
      <w:r>
        <w:rPr>
          <w:rFonts w:ascii="Arial" w:cs="Arial" w:eastAsia="Arial" w:hAnsi="Arial"/>
          <w:color w:val="1B2118"/>
          <w:sz w:val="21"/>
          <w:szCs w:val="21"/>
        </w:rPr>
        <w:t xml:space="preserve">per i gestori presidente, amministratore delegato o unico, direttori, se fanno raccolta per i Comuni e se gestiscono la tariffa.</w:t>
      </w:r>
    </w:p>
    <w:p>
      <w:pPr>
        <w:spacing w:after="140" w:line="300"/>
      </w:pPr>
      <w:r>
        <w:rPr>
          <w:rFonts w:ascii="Arial" w:cs="Arial" w:eastAsia="Arial" w:hAnsi="Arial"/>
          <w:color w:val="1B2118"/>
          <w:sz w:val="21"/>
          <w:szCs w:val="21"/>
        </w:rPr>
        <w:t xml:space="preserve">Riempie solo i campi vuoti e per ogni referente salva la pagina da cui è preso. Usa regole fisse, senza servizi a pagamento. Rispetta le indicazioni dei siti per i programmi automatici e legge una pagina alla volta. Accesa, legge 4 enti ogni 30 secondi.</w:t>
      </w:r>
    </w:p>
    <w:p>
      <w:pPr>
        <w:spacing w:after="140" w:line="300"/>
      </w:pPr>
      <w:r>
        <w:rPr>
          <w:rFonts w:ascii="Arial" w:cs="Arial" w:eastAsia="Arial" w:hAnsi="Arial"/>
          <w:color w:val="1B2118"/>
          <w:sz w:val="21"/>
          <w:szCs w:val="21"/>
        </w:rPr>
        <w:t xml:space="preserve">Pulsanti: </w:t>
      </w:r>
      <w:r>
        <w:rPr>
          <w:rFonts w:ascii="Arial" w:cs="Arial" w:eastAsia="Arial" w:hAnsi="Arial"/>
          <w:b/>
          <w:bCs/>
          <w:color w:val="1B2118"/>
          <w:sz w:val="21"/>
          <w:szCs w:val="21"/>
        </w:rPr>
        <w:t xml:space="preserve">Metti in coda i Comuni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Metti in coda i gestori con sito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Avvia la lettura</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Ferma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Leggi ora 1 ente</w:t>
      </w:r>
      <w:r>
        <w:rPr>
          <w:rFonts w:ascii="Arial" w:cs="Arial" w:eastAsia="Arial" w:hAnsi="Arial"/>
          <w:color w:val="1B2118"/>
          <w:sz w:val="21"/>
          <w:szCs w:val="21"/>
        </w:rPr>
        <w:t xml:space="preserve"> (prova immediata con il risultato a schermo), </w:t>
      </w:r>
      <w:r>
        <w:rPr>
          <w:rFonts w:ascii="Arial" w:cs="Arial" w:eastAsia="Arial" w:hAnsi="Arial"/>
          <w:b/>
          <w:bCs/>
          <w:color w:val="1B2118"/>
          <w:sz w:val="21"/>
          <w:szCs w:val="21"/>
        </w:rPr>
        <w:t xml:space="preserve">Rileggi tutti</w:t>
      </w:r>
      <w:r>
        <w:rPr>
          <w:rFonts w:ascii="Arial" w:cs="Arial" w:eastAsia="Arial" w:hAnsi="Arial"/>
          <w:color w:val="1B2118"/>
          <w:sz w:val="21"/>
          <w:szCs w:val="21"/>
        </w:rPr>
        <w:t xml:space="preserve">. La tabella mostra quanti enti sono in coda, letti e in errore (siti che non rispondono); gli ultimi errori si aprono sotto i pulsanti.</w:t>
      </w:r>
    </w:p>
    <w:p>
      <w:pPr>
        <w:spacing w:after="140" w:line="300"/>
      </w:pPr>
      <w:r>
        <w:rPr>
          <w:rFonts w:ascii="Arial" w:cs="Arial" w:eastAsia="Arial" w:hAnsi="Arial"/>
          <w:color w:val="1B2118"/>
          <w:sz w:val="21"/>
          <w:szCs w:val="21"/>
        </w:rPr>
        <w:t xml:space="preserve">I nomi dei responsabili dei Comuni si trovano solo quando la pagina li indica in modo chiaro: negli altri casi resta l'email dell'ufficio.</w:t>
      </w:r>
    </w:p>
    <w:p>
      <w:pPr>
        <w:spacing w:after="140" w:line="300"/>
      </w:pPr>
      <w:r>
        <w:rPr>
          <w:rFonts w:ascii="Arial" w:cs="Arial" w:eastAsia="Arial" w:hAnsi="Arial"/>
          <w:color w:val="1B2118"/>
          <w:sz w:val="21"/>
          <w:szCs w:val="21"/>
        </w:rPr>
        <w:t xml:space="preserve">Alcuni siti (circa uno su otto tra i Comuni) chiedono ai programmi automatici di non essere letti: il portale rispetta la richiesta e li segna tra gli errori («Il sito chiede di non essere letto…»). Per questi enti i dati si completano a mano dalla scheda. Gli enti con il sito che non ha risposto si possono rimettere in coda con </w:t>
      </w:r>
      <w:r>
        <w:rPr>
          <w:rFonts w:ascii="Arial" w:cs="Arial" w:eastAsia="Arial" w:hAnsi="Arial"/>
          <w:b/>
          <w:bCs/>
          <w:color w:val="1B2118"/>
          <w:sz w:val="21"/>
          <w:szCs w:val="21"/>
        </w:rPr>
        <w:t xml:space="preserve">Rileggi tutti</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Richieste di registrazione</w:t>
      </w:r>
    </w:p>
    <w:p>
      <w:pPr>
        <w:spacing w:after="140" w:line="300"/>
      </w:pPr>
      <w:r>
        <w:rPr>
          <w:rFonts w:ascii="Arial" w:cs="Arial" w:eastAsia="Arial" w:hAnsi="Arial"/>
          <w:color w:val="1B2118"/>
          <w:sz w:val="21"/>
          <w:szCs w:val="21"/>
        </w:rPr>
        <w:t xml:space="preserve">Ogni richiesta arriva a tutti gli Amministratori come notifica nel portale ed email. Nella scheda </w:t>
      </w:r>
      <w:r>
        <w:rPr>
          <w:rFonts w:ascii="Arial" w:cs="Arial" w:eastAsia="Arial" w:hAnsi="Arial"/>
          <w:b/>
          <w:bCs/>
          <w:color w:val="1B2118"/>
          <w:sz w:val="21"/>
          <w:szCs w:val="21"/>
        </w:rPr>
        <w:t xml:space="preserve">Richieste</w:t>
      </w:r>
      <w:r>
        <w:rPr>
          <w:rFonts w:ascii="Arial" w:cs="Arial" w:eastAsia="Arial" w:hAnsi="Arial"/>
          <w:color w:val="1B2118"/>
          <w:sz w:val="21"/>
          <w:szCs w:val="21"/>
        </w:rPr>
        <w:t xml:space="preserve"> trovate referente, recapiti, messaggio e la simulazione fatta; scrivete le note (es. «chiamato il…») e segnate la richiesta come gestita. La registrazione vera e propria si fa come sempre da Utenti e Anagrafiche.</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0" w:id="1"/>
      <w:r>
        <w:rPr>
          <w:rFonts w:ascii="Arial" w:cs="Arial" w:eastAsia="Arial" w:hAnsi="Arial"/>
          <w:b/>
          <w:bCs/>
          <w:color w:val="2F5D3A"/>
          <w:sz w:val="34"/>
          <w:szCs w:val="34"/>
        </w:rPr>
        <w:t xml:space="preserve">30.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6.7 · 26/10/2026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6.7 · 26/10/2026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nm6pxdjwexcdqyvh-cjuo"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6.7)</dc:title>
  <dc:creator>Fondazione Operate</dc:creator>
  <cp:lastModifiedBy>Un-named</cp:lastModifiedBy>
  <cp:revision>1</cp:revision>
  <dcterms:created xsi:type="dcterms:W3CDTF">2026-10-26T08:17:08.473Z</dcterms:created>
  <dcterms:modified xsi:type="dcterms:W3CDTF">2026-10-26T08:17:08.473Z</dcterms:modified>
</cp:coreProperties>
</file>

<file path=docProps/custom.xml><?xml version="1.0" encoding="utf-8"?>
<Properties xmlns="http://schemas.openxmlformats.org/officeDocument/2006/custom-properties" xmlns:vt="http://schemas.openxmlformats.org/officeDocument/2006/docPropsVTypes"/>
</file>