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7.7</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23/10/2026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verifica dei gestori sui siti, primo lotto (Lombardia classi A e B) e strumento di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in produzione il 23/10 (script 44, funzione marketing), correzioni dell'importazione, banche dati caricate; tutti gli script 01-44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(script 44, funzione marketing, pagine /marketing e /scopri): pronta, da eseguire in produzione con l'OK di Luca; nuovo capitolo 16.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34 eseguito in produzione il 23/10; tutti gli script 01-43 eseguiti.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dello stato delle fasi (cronologia del 23/10).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43 (valore dei progetti, listino Caso 1 / Caso 2), funzione cruscotto_valore_progetti,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Revisione generale al 23/10: intestazione (versione 0.42), dati personali, flusso del calcolo, «Da fare subito», struttura del codice, tabelle; script 34 verificato non eseguito.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42 (valore dei crediti), funzioni cruscotto_valore_crediti e admin_imposta_prezzo_riferimento, cronologia del 23/10.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41 (utenze nel motore e controlli di conferma), cronologia del 23/10, capitolo 15, funzione cwp_utenze_controllo.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in produzione, calcolo di prova caricato.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categorie, moduli di gestione, caricamento.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40 e modello Banca dati utenze (ramo banca-dati-utenze).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7.7 del 23/10/2026.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7</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11</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12</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23</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26</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23/10/2026)</w:t>
        </w:r>
        <w:r>
          <w:rPr>
            <w:rFonts w:ascii="Arial" w:cs="Arial" w:eastAsia="Arial" w:hAnsi="Arial"/>
            <w:color w:val="1B2118"/>
            <w:sz w:val="22"/>
            <w:szCs w:val="22"/>
          </w:rPr>
          <w:tab/>
          <w:t xml:space="preserve">29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31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33</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50</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52</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54</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60</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61</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77</w:t>
        </w:r>
      </w:hyperlink>
    </w:p>
    <w:p>
      <w:pPr>
        <w:tabs>
          <w:tab w:val="right" w:pos="9638" w:leader="dot"/>
        </w:tabs>
        <w:spacing w:after="130"/>
      </w:pPr>
      <w:hyperlink w:history="1" w:anchor="cap16">
        <w:r>
          <w:rPr>
            <w:rFonts w:ascii="Arial" w:cs="Arial" w:eastAsia="Arial" w:hAnsi="Arial"/>
            <w:color w:val="1B2118"/>
            <w:sz w:val="22"/>
            <w:szCs w:val="22"/>
          </w:rPr>
          <w:t xml:space="preserve">16. Marketing</w:t>
        </w:r>
        <w:r>
          <w:rPr>
            <w:rFonts w:ascii="Arial" w:cs="Arial" w:eastAsia="Arial" w:hAnsi="Arial"/>
            <w:color w:val="1B2118"/>
            <w:sz w:val="22"/>
            <w:szCs w:val="22"/>
          </w:rPr>
          <w:tab/>
          <w:t xml:space="preserve">79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il tracciato dati (passo 5b) deve contenere solo codici anonimi (import bloccato altrimenti); la Banca Dati Utenze per utenza (passo 5a, script 40, dal 22/10) contiene nome e indirizzo per scelta di Luca: nessuna lettura diretta, consultazione solo dello staff con voce di audit, motore senza nomi, Comune escluso; servono DPIA e accordo art. 28 con i Comuni.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dal 22/10 le utenze dell'anno si caricano nel passo «5a» (</w:t>
      </w:r>
      <w:r>
        <w:rPr>
          <w:rFonts w:ascii="Consolas" w:cs="Consolas" w:eastAsia="Consolas" w:hAnsi="Consolas"/>
          <w:color w:val="2F5D3A"/>
          <w:sz w:val="21"/>
          <w:szCs w:val="21"/>
        </w:rPr>
        <w:t xml:space="preserve">UtenzeCalcolo.jsx</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calcolo_utenza</w:t>
      </w:r>
      <w:r>
        <w:rPr>
          <w:rFonts w:ascii="Arial" w:cs="Arial" w:eastAsia="Arial" w:hAnsi="Arial"/>
          <w:color w:val="1B2118"/>
          <w:sz w:val="21"/>
          <w:szCs w:val="21"/>
        </w:rPr>
        <w:t xml:space="preserve">, script 40) e dal 23/10 il motore usa quelle (script 41)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23/10/2026 alle 12:20</w:t>
            </w:r>
            <w:r>
              <w:rPr>
                <w:rFonts w:ascii="Arial" w:cs="Arial" w:eastAsia="Arial" w:hAnsi="Arial"/>
                <w:color w:val="1B2118"/>
                <w:sz w:val="18"/>
                <w:szCs w:val="18"/>
              </w:rPr>
              <w:t xml:space="preserve"> su incarico di Luca, dopo gli script 35-43 (prova sul banco nello stesso ordine: stesse 9 funzioni eseguibili senza accesso, </w:t>
            </w:r>
            <w:r>
              <w:rPr>
                <w:rFonts w:ascii="Consolas" w:cs="Consolas" w:eastAsia="Consolas" w:hAnsi="Consolas"/>
                <w:color w:val="2F5D3A"/>
                <w:sz w:val="18"/>
                <w:szCs w:val="18"/>
              </w:rPr>
              <w:t xml:space="preserve">t41</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t43</w:t>
            </w:r>
            <w:r>
              <w:rPr>
                <w:rFonts w:ascii="Arial" w:cs="Arial" w:eastAsia="Arial" w:hAnsi="Arial"/>
                <w:color w:val="1B2118"/>
                <w:sz w:val="18"/>
                <w:szCs w:val="18"/>
              </w:rPr>
              <w:t xml:space="preserve"> invariati)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44_marketing.sql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(23/10/2026, richiesta di Luca; </w:t>
            </w:r>
            <w:r>
              <w:rPr>
                <w:rFonts w:ascii="Arial" w:cs="Arial" w:eastAsia="Arial" w:hAnsi="Arial"/>
                <w:b/>
                <w:bCs/>
                <w:color w:val="1B2118"/>
                <w:sz w:val="18"/>
                <w:szCs w:val="18"/>
              </w:rPr>
              <w:t xml:space="preserve">eseguito in produzione il 23/10/2026 alle 12:12</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mkt_ente</w:t>
            </w:r>
            <w:r>
              <w:rPr>
                <w:rFonts w:ascii="Arial" w:cs="Arial" w:eastAsia="Arial" w:hAnsi="Arial"/>
                <w:color w:val="1B2118"/>
                <w:sz w:val="18"/>
                <w:szCs w:val="18"/>
              </w:rPr>
              <w:t xml:space="preserve"> (Comuni e gestori: chiave </w:t>
            </w:r>
            <w:r>
              <w:rPr>
                <w:rFonts w:ascii="Consolas" w:cs="Consolas" w:eastAsia="Consolas" w:hAnsi="Consolas"/>
                <w:color w:val="2F5D3A"/>
                <w:sz w:val="18"/>
                <w:szCs w:val="18"/>
              </w:rPr>
              <w:t xml:space="preserve">istat:</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albo:</w:t>
            </w:r>
            <w:r>
              <w:rPr>
                <w:rFonts w:ascii="Arial" w:cs="Arial" w:eastAsia="Arial" w:hAnsi="Arial"/>
                <w:color w:val="1B2118"/>
                <w:sz w:val="18"/>
                <w:szCs w:val="18"/>
              </w:rPr>
              <w:t xml:space="preserve">, regione, provincia, abitanti, PEC, email generica con controllo «non PEC», sito, natura, numero e categorie dell'Albo, attività di raccolta e tariffa, fonti), </w:t>
            </w:r>
            <w:r>
              <w:rPr>
                <w:rFonts w:ascii="Consolas" w:cs="Consolas" w:eastAsia="Consolas" w:hAnsi="Consolas"/>
                <w:color w:val="2F5D3A"/>
                <w:sz w:val="18"/>
                <w:szCs w:val="18"/>
              </w:rPr>
              <w:t xml:space="preserve">mkt_referente</w:t>
            </w:r>
            <w:r>
              <w:rPr>
                <w:rFonts w:ascii="Arial" w:cs="Arial" w:eastAsia="Arial" w:hAnsi="Arial"/>
                <w:color w:val="1B2118"/>
                <w:sz w:val="18"/>
                <w:szCs w:val="18"/>
              </w:rPr>
              <w:t xml:space="preserve"> (sindaco, tributi, ambiente, finanziario, tecnico, direttori, amministratore), </w:t>
            </w:r>
            <w:r>
              <w:rPr>
                <w:rFonts w:ascii="Consolas" w:cs="Consolas" w:eastAsia="Consolas" w:hAnsi="Consolas"/>
                <w:color w:val="2F5D3A"/>
                <w:sz w:val="18"/>
                <w:szCs w:val="18"/>
              </w:rPr>
              <w:t xml:space="preserve">mkt_campagna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mkt_invio</w:t>
            </w:r>
            <w:r>
              <w:rPr>
                <w:rFonts w:ascii="Arial" w:cs="Arial" w:eastAsia="Arial" w:hAnsi="Arial"/>
                <w:color w:val="1B2118"/>
                <w:sz w:val="18"/>
                <w:szCs w:val="18"/>
              </w:rPr>
              <w:t xml:space="preserve"> (un invio per ente con codice casuale, stato, visita, simulazione, richiesta), </w:t>
            </w:r>
            <w:r>
              <w:rPr>
                <w:rFonts w:ascii="Consolas" w:cs="Consolas" w:eastAsia="Consolas" w:hAnsi="Consolas"/>
                <w:color w:val="2F5D3A"/>
                <w:sz w:val="18"/>
                <w:szCs w:val="18"/>
              </w:rPr>
              <w:t xml:space="preserve">mkt_disiscrizione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mkt_richiesta</w:t>
            </w:r>
            <w:r>
              <w:rPr>
                <w:rFonts w:ascii="Arial" w:cs="Arial" w:eastAsia="Arial" w:hAnsi="Arial"/>
                <w:color w:val="1B2118"/>
                <w:sz w:val="18"/>
                <w:szCs w:val="18"/>
              </w:rPr>
              <w:t xml:space="preserve"> (richieste di registrazione dalla pagina /scopri; id uuid per l'audit); RLS solo Amministratori, nessun accesso anonimo; audit di campagne e richieste; </w:t>
            </w:r>
            <w:r>
              <w:rPr>
                <w:rFonts w:ascii="Consolas" w:cs="Consolas" w:eastAsia="Consolas" w:hAnsi="Consolas"/>
                <w:color w:val="2F5D3A"/>
                <w:sz w:val="18"/>
                <w:szCs w:val="18"/>
              </w:rPr>
              <w:t xml:space="preserve">mkt_sembra_pec</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(salta enti senza email e indirizzi disiscritti),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Prova </w:t>
            </w:r>
            <w:r>
              <w:rPr>
                <w:rFonts w:ascii="Consolas" w:cs="Consolas" w:eastAsia="Consolas" w:hAnsi="Consolas"/>
                <w:color w:val="2F5D3A"/>
                <w:sz w:val="18"/>
                <w:szCs w:val="18"/>
              </w:rPr>
              <w:t xml:space="preserve">t44.sql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43_valore_progetti.sql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progetti per il cliente (23/10/2026, richiesta di Luca; </w:t>
            </w:r>
            <w:r>
              <w:rPr>
                <w:rFonts w:ascii="Arial" w:cs="Arial" w:eastAsia="Arial" w:hAnsi="Arial"/>
                <w:b/>
                <w:bCs/>
                <w:color w:val="1B2118"/>
                <w:sz w:val="18"/>
                <w:szCs w:val="18"/>
              </w:rPr>
              <w:t xml:space="preserve">eseguito in produzione il 23/10/2026 alle 11:50</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pratica.caso_listino</w:t>
            </w:r>
            <w:r>
              <w:rPr>
                <w:rFonts w:ascii="Arial" w:cs="Arial" w:eastAsia="Arial" w:hAnsi="Arial"/>
                <w:color w:val="1B2118"/>
                <w:sz w:val="18"/>
                <w:szCs w:val="18"/>
              </w:rPr>
              <w:t xml:space="preserve"> ('caso1' / 'caso2', solo Progetti, null = da indicare);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salvano il caso (messaggio italiano per valori non ammessi); </w:t>
            </w:r>
            <w:r>
              <w:rPr>
                <w:rFonts w:ascii="Consolas" w:cs="Consolas" w:eastAsia="Consolas" w:hAnsi="Consolas"/>
                <w:color w:val="2F5D3A"/>
                <w:sz w:val="18"/>
                <w:szCs w:val="18"/>
              </w:rPr>
              <w:t xml:space="preserve">scenario_simulazione.costo_cliente_totale</w:t>
            </w:r>
            <w:r>
              <w:rPr>
                <w:rFonts w:ascii="Arial" w:cs="Arial" w:eastAsia="Arial" w:hAnsi="Arial"/>
                <w:color w:val="1B2118"/>
                <w:sz w:val="18"/>
                <w:szCs w:val="18"/>
              </w:rPr>
              <w:t xml:space="preserve"> (salvato dal simulatore con il Caso 1 o 2); </w:t>
            </w:r>
            <w:r>
              <w:rPr>
                <w:rFonts w:ascii="Consolas" w:cs="Consolas" w:eastAsia="Consolas" w:hAnsi="Consolas"/>
                <w:color w:val="2F5D3A"/>
                <w:sz w:val="18"/>
                <w:szCs w:val="18"/>
              </w:rPr>
              <w:t xml:space="preserve">cruscotto_valore_progetti()</w:t>
            </w:r>
            <w:r>
              <w:rPr>
                <w:rFonts w:ascii="Arial" w:cs="Arial" w:eastAsia="Arial" w:hAnsi="Arial"/>
                <w:color w:val="1B2118"/>
                <w:sz w:val="18"/>
                <w:szCs w:val="18"/>
              </w:rPr>
              <w:t xml:space="preserve"> (ultimo scenario per Comune ed elenco dei Progetti aperti con caso, popolazione e periodo; staff tutto, Comuni i propri). Prova </w:t>
            </w:r>
            <w:r>
              <w:rPr>
                <w:rFonts w:ascii="Consolas" w:cs="Consolas" w:eastAsia="Consolas" w:hAnsi="Consolas"/>
                <w:color w:val="2F5D3A"/>
                <w:sz w:val="18"/>
                <w:szCs w:val="18"/>
              </w:rPr>
              <w:t xml:space="preserve">t43.sql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42_valore_crediti.sql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complessivo dei crediti nella Dashboard (23/10/2026, richiesta di Luca; </w:t>
            </w:r>
            <w:r>
              <w:rPr>
                <w:rFonts w:ascii="Arial" w:cs="Arial" w:eastAsia="Arial" w:hAnsi="Arial"/>
                <w:b/>
                <w:bCs/>
                <w:color w:val="1B2118"/>
                <w:sz w:val="18"/>
                <w:szCs w:val="18"/>
              </w:rPr>
              <w:t xml:space="preserve">eseguito in produzione il 23/10/2026 alle 11:10</w:t>
            </w:r>
            <w:r>
              <w:rPr>
                <w:rFonts w:ascii="Arial" w:cs="Arial" w:eastAsia="Arial" w:hAnsi="Arial"/>
                <w:color w:val="1B2118"/>
                <w:sz w:val="18"/>
                <w:szCs w:val="18"/>
              </w:rPr>
              <w:t xml:space="preserve">): colonna </w:t>
            </w:r>
            <w:r>
              <w:rPr>
                <w:rFonts w:ascii="Consolas" w:cs="Consolas" w:eastAsia="Consolas" w:hAnsi="Consolas"/>
                <w:color w:val="2F5D3A"/>
                <w:sz w:val="18"/>
                <w:szCs w:val="18"/>
              </w:rPr>
              <w:t xml:space="preserve">scenario_simulazione.ricavi_totali</w:t>
            </w:r>
            <w:r>
              <w:rPr>
                <w:rFonts w:ascii="Arial" w:cs="Arial" w:eastAsia="Arial" w:hAnsi="Arial"/>
                <w:color w:val="1B2118"/>
                <w:sz w:val="18"/>
                <w:szCs w:val="18"/>
              </w:rPr>
              <w:t xml:space="preserve"> (salvata dal simulatore); impostazione </w:t>
            </w:r>
            <w:r>
              <w:rPr>
                <w:rFonts w:ascii="Consolas" w:cs="Consolas" w:eastAsia="Consolas" w:hAnsi="Consolas"/>
                <w:color w:val="2F5D3A"/>
                <w:sz w:val="18"/>
                <w:szCs w:val="18"/>
              </w:rPr>
              <w:t xml:space="preserve">prezzo_credito_riferimento</w:t>
            </w:r>
            <w:r>
              <w:rPr>
                <w:rFonts w:ascii="Arial" w:cs="Arial" w:eastAsia="Arial" w:hAnsi="Arial"/>
                <w:color w:val="1B2118"/>
                <w:sz w:val="18"/>
                <w:szCs w:val="18"/>
              </w:rPr>
              <w:t xml:space="preserve"> (32 €) e </w:t>
            </w:r>
            <w:r>
              <w:rPr>
                <w:rFonts w:ascii="Consolas" w:cs="Consolas" w:eastAsia="Consolas" w:hAnsi="Consolas"/>
                <w:color w:val="2F5D3A"/>
                <w:sz w:val="18"/>
                <w:szCs w:val="18"/>
              </w:rPr>
              <w:t xml:space="preserve">admin_imposta_prezzo_riferimento</w:t>
            </w:r>
            <w:r>
              <w:rPr>
                <w:rFonts w:ascii="Arial" w:cs="Arial" w:eastAsia="Arial" w:hAnsi="Arial"/>
                <w:color w:val="1B2118"/>
                <w:sz w:val="18"/>
                <w:szCs w:val="18"/>
              </w:rPr>
              <w:t xml:space="preserve"> (solo Admin, 0-10.000 €, audit); </w:t>
            </w:r>
            <w:r>
              <w:rPr>
                <w:rFonts w:ascii="Consolas" w:cs="Consolas" w:eastAsia="Consolas" w:hAnsi="Consolas"/>
                <w:color w:val="2F5D3A"/>
                <w:sz w:val="18"/>
                <w:szCs w:val="18"/>
              </w:rPr>
              <w:t xml:space="preserve">cruscotto_valore_crediti()</w:t>
            </w:r>
            <w:r>
              <w:rPr>
                <w:rFonts w:ascii="Arial" w:cs="Arial" w:eastAsia="Arial" w:hAnsi="Arial"/>
                <w:color w:val="1B2118"/>
                <w:sz w:val="18"/>
                <w:szCs w:val="18"/>
              </w:rPr>
              <w:t xml:space="preserve"> (JSON: simulazione con l'ultimo scenario per Comune, calcoli ex post confermati e validi, lotti emessi, vendite; staff tutto, utenti dei Comuni solo le proprie organizzazioni; anon negato). Prova </w:t>
            </w:r>
            <w:r>
              <w:rPr>
                <w:rFonts w:ascii="Consolas" w:cs="Consolas" w:eastAsia="Consolas" w:hAnsi="Consolas"/>
                <w:color w:val="2F5D3A"/>
                <w:sz w:val="18"/>
                <w:szCs w:val="18"/>
              </w:rPr>
              <w:t xml:space="preserve">t42.sql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41_utenze_nel_calcolo.sql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passo 5a nel motore di calcolo (23/10/2026, richiesta di Luca; </w:t>
            </w:r>
            <w:r>
              <w:rPr>
                <w:rFonts w:ascii="Arial" w:cs="Arial" w:eastAsia="Arial" w:hAnsi="Arial"/>
                <w:b/>
                <w:bCs/>
                <w:color w:val="1B2118"/>
                <w:sz w:val="18"/>
                <w:szCs w:val="18"/>
              </w:rPr>
              <w:t xml:space="preserve">eseguito in produzione il 23/10/2026 alle 10:14</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cwp_utenze_controllo(calcolo, dati)</w:t>
            </w:r>
            <w:r>
              <w:rPr>
                <w:rFonts w:ascii="Arial" w:cs="Arial" w:eastAsia="Arial" w:hAnsi="Arial"/>
                <w:color w:val="1B2118"/>
                <w:sz w:val="18"/>
                <w:szCs w:val="18"/>
              </w:rPr>
              <w:t xml:space="preserve"> (security definer, solo numeri: utenze, senza categoria di simulazione, con categoria assente dalle classi della delibera); nuova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(alla conferma confronta anche </w:t>
            </w:r>
            <w:r>
              <w:rPr>
                <w:rFonts w:ascii="Consolas" w:cs="Consolas" w:eastAsia="Consolas" w:hAnsi="Consolas"/>
                <w:color w:val="2F5D3A"/>
                <w:sz w:val="18"/>
                <w:szCs w:val="18"/>
              </w:rPr>
              <w:t xml:space="preserve">risultato.righe.utenze</w:t>
            </w:r>
            <w:r>
              <w:rPr>
                <w:rFonts w:ascii="Arial" w:cs="Arial" w:eastAsia="Arial" w:hAnsi="Arial"/>
                <w:color w:val="1B2118"/>
                <w:sz w:val="18"/>
                <w:szCs w:val="18"/>
              </w:rPr>
              <w:t xml:space="preserve"> con le utenze salvate; i risultati di prima valgono 0 utenze); nuova </w:t>
            </w:r>
            <w:r>
              <w:rPr>
                <w:rFonts w:ascii="Consolas" w:cs="Consolas" w:eastAsia="Consolas" w:hAnsi="Consolas"/>
                <w:color w:val="2F5D3A"/>
                <w:sz w:val="18"/>
                <w:szCs w:val="18"/>
              </w:rPr>
              <w:t xml:space="preserve">calcolo_prerequisiti_conferma</w:t>
            </w:r>
            <w:r>
              <w:rPr>
                <w:rFonts w:ascii="Arial" w:cs="Arial" w:eastAsia="Arial" w:hAnsi="Arial"/>
                <w:color w:val="1B2118"/>
                <w:sz w:val="18"/>
                <w:szCs w:val="18"/>
              </w:rPr>
              <w:t xml:space="preserve"> (servono utenze del 5a o conferimenti del 5b; con le utenze nessuna senza categoria o con categoria fuori delibera). Prova </w:t>
            </w:r>
            <w:r>
              <w:rPr>
                <w:rFonts w:ascii="Consolas" w:cs="Consolas" w:eastAsia="Consolas" w:hAnsi="Consolas"/>
                <w:color w:val="2F5D3A"/>
                <w:sz w:val="18"/>
                <w:szCs w:val="18"/>
              </w:rPr>
              <w:t xml:space="preserve">t41.sql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40_utenze_calcolo.sql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(22/10/2026, richiesta di Luca; </w:t>
            </w:r>
            <w:r>
              <w:rPr>
                <w:rFonts w:ascii="Arial" w:cs="Arial" w:eastAsia="Arial" w:hAnsi="Arial"/>
                <w:b/>
                <w:bCs/>
                <w:color w:val="1B2118"/>
                <w:sz w:val="18"/>
                <w:szCs w:val="18"/>
              </w:rPr>
              <w:t xml:space="preserve">eseguito in produzione il 22/10/2026 alle 17:30</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(codice unico nel calcolo, tipo UD/UnD, nominativo, indirizzo, componenti solo UD, mq, categoria tariffaria e categoria di simulazione (proposta uguale alla tariffaria dal trigger </w:t>
            </w:r>
            <w:r>
              <w:rPr>
                <w:rFonts w:ascii="Consolas" w:cs="Consolas" w:eastAsia="Consolas" w:hAnsi="Consolas"/>
                <w:color w:val="2F5D3A"/>
                <w:sz w:val="18"/>
                <w:szCs w:val="18"/>
              </w:rPr>
              <w:t xml:space="preserve">trg_utenza_categoria</w:t>
            </w:r>
            <w:r>
              <w:rPr>
                <w:rFonts w:ascii="Arial" w:cs="Arial" w:eastAsia="Arial" w:hAnsi="Arial"/>
                <w:color w:val="1B2118"/>
                <w:sz w:val="18"/>
                <w:szCs w:val="18"/>
              </w:rPr>
              <w:t xml:space="preserve">), produzione totale, </w:t>
            </w:r>
            <w:r>
              <w:rPr>
                <w:rFonts w:ascii="Consolas" w:cs="Consolas" w:eastAsia="Consolas" w:hAnsi="Consolas"/>
                <w:color w:val="2F5D3A"/>
                <w:sz w:val="18"/>
                <w:szCs w:val="18"/>
              </w:rPr>
              <w:t xml:space="preserve">frazioni</w:t>
            </w:r>
            <w:r>
              <w:rPr>
                <w:rFonts w:ascii="Arial" w:cs="Arial" w:eastAsia="Arial" w:hAnsi="Arial"/>
                <w:color w:val="1B2118"/>
                <w:sz w:val="18"/>
                <w:szCs w:val="18"/>
              </w:rPr>
              <w:t xml:space="preserve"> JSON con kg e svuotamenti, indifferenziato obbligatorio; controlli </w:t>
            </w:r>
            <w:r>
              <w:rPr>
                <w:rFonts w:ascii="Consolas" w:cs="Consolas" w:eastAsia="Consolas" w:hAnsi="Consolas"/>
                <w:color w:val="2F5D3A"/>
                <w:sz w:val="18"/>
                <w:szCs w:val="18"/>
              </w:rPr>
              <w:t xml:space="preserve">cwp_tipologie_rifiuto()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cwp_frazioni_errore()</w:t>
            </w:r>
            <w:r>
              <w:rPr>
                <w:rFonts w:ascii="Arial" w:cs="Arial" w:eastAsia="Arial" w:hAnsi="Arial"/>
                <w:color w:val="1B2118"/>
                <w:sz w:val="18"/>
                <w:szCs w:val="18"/>
              </w:rPr>
              <w:t xml:space="preserve">); nessuna regola di lettura: consultazione con </w:t>
            </w: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(staff, voce di audit «consultazione utenze»), lettura per il motore con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(Admin, senza nomi e indirizzi), </w:t>
            </w:r>
            <w:r>
              <w:rPr>
                <w:rFonts w:ascii="Consolas" w:cs="Consolas" w:eastAsia="Consolas" w:hAnsi="Consolas"/>
                <w:color w:val="2F5D3A"/>
                <w:sz w:val="18"/>
                <w:szCs w:val="18"/>
              </w:rPr>
              <w:t xml:space="preserve">admin_svuota_utenze</w:t>
            </w:r>
            <w:r>
              <w:rPr>
                <w:rFonts w:ascii="Arial" w:cs="Arial" w:eastAsia="Arial" w:hAnsi="Arial"/>
                <w:color w:val="1B2118"/>
                <w:sz w:val="18"/>
                <w:szCs w:val="18"/>
              </w:rPr>
              <w:t xml:space="preserve"> (Admin, audit «cancellazione utenze»); modulo con </w:t>
            </w:r>
            <w:r>
              <w:rPr>
                <w:rFonts w:ascii="Consolas" w:cs="Consolas" w:eastAsia="Consolas" w:hAnsi="Consolas"/>
                <w:color w:val="2F5D3A"/>
                <w:sz w:val="18"/>
                <w:szCs w:val="18"/>
              </w:rPr>
              <w:t xml:space="preserve">admin_salva_utenza</w:t>
            </w:r>
            <w:r>
              <w:rPr>
                <w:rFonts w:ascii="Arial" w:cs="Arial" w:eastAsia="Arial" w:hAnsi="Arial"/>
                <w:color w:val="1B2118"/>
                <w:sz w:val="18"/>
                <w:szCs w:val="18"/>
              </w:rPr>
              <w:t xml:space="preserve"> (nuova o modifica, messaggi in italiano, audit «inserimento/modifica utenza» con i nomi dei campi cambiati) e </w:t>
            </w:r>
            <w:r>
              <w:rPr>
                <w:rFonts w:ascii="Consolas" w:cs="Consolas" w:eastAsia="Consolas" w:hAnsi="Consolas"/>
                <w:color w:val="2F5D3A"/>
                <w:sz w:val="18"/>
                <w:szCs w:val="18"/>
              </w:rPr>
              <w:t xml:space="preserve">admin_elimina_utenza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admin_conta_utenze</w:t>
            </w:r>
            <w:r>
              <w:rPr>
                <w:rFonts w:ascii="Arial" w:cs="Arial" w:eastAsia="Arial" w:hAnsi="Arial"/>
                <w:color w:val="1B2118"/>
                <w:sz w:val="18"/>
                <w:szCs w:val="18"/>
              </w:rPr>
              <w:t xml:space="preserve">; inserimento solo Admin con una voce di audit per caricamento; immutabile a calcolo confermato, azzera il risultato della bozza, copiata da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(ora security definer). Prova </w:t>
            </w:r>
            <w:r>
              <w:rPr>
                <w:rFonts w:ascii="Consolas" w:cs="Consolas" w:eastAsia="Consolas" w:hAnsi="Consolas"/>
                <w:color w:val="2F5D3A"/>
                <w:sz w:val="18"/>
                <w:szCs w:val="18"/>
              </w:rPr>
              <w:t xml:space="preserve">t40.sql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2492"/>
        <w:gridCol w:w="2492"/>
        <w:gridCol w:w="2491"/>
      </w:tblGrid>
      <w:tr>
        <w:trPr>
          <w:tblHeader/>
        </w:trPr>
        <w:tc>
          <w:tcPr>
            <w:tcW w:type="dxa" w:w="2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Marketing (23/10/2026, script 44). Azioni degli Amministratori: </w:t>
            </w:r>
            <w:r>
              <w:rPr>
                <w:rFonts w:ascii="Consolas" w:cs="Consolas" w:eastAsia="Consolas" w:hAnsi="Consolas"/>
                <w:color w:val="2F5D3A"/>
                <w:sz w:val="18"/>
                <w:szCs w:val="18"/>
              </w:rPr>
              <w:t xml:space="preserve">importa_comuni</w:t>
            </w:r>
            <w:r>
              <w:rPr>
                <w:rFonts w:ascii="Arial" w:cs="Arial" w:eastAsia="Arial" w:hAnsi="Arial"/>
                <w:color w:val="1B2118"/>
                <w:sz w:val="18"/>
                <w:szCs w:val="18"/>
              </w:rPr>
              <w:t xml:space="preserve"> (elenco ISTAT da </w:t>
            </w:r>
            <w:r>
              <w:rPr>
                <w:rFonts w:ascii="Consolas" w:cs="Consolas" w:eastAsia="Consolas" w:hAnsi="Consolas"/>
                <w:color w:val="2F5D3A"/>
                <w:sz w:val="18"/>
                <w:szCs w:val="18"/>
              </w:rPr>
              <w:t xml:space="preserve">public/marketing/dati/comuni_istat.json</w:t>
            </w:r>
            <w:r>
              <w:rPr>
                <w:rFonts w:ascii="Arial" w:cs="Arial" w:eastAsia="Arial" w:hAnsi="Arial"/>
                <w:color w:val="1B2118"/>
                <w:sz w:val="18"/>
                <w:szCs w:val="18"/>
              </w:rPr>
              <w:t xml:space="preserve">, poi IndicePA: PEC, email generica, sito, sindaco; uffici di tributi, ambiente, finanziario e tecnico a blocchi), </w:t>
            </w:r>
            <w:r>
              <w:rPr>
                <w:rFonts w:ascii="Consolas" w:cs="Consolas" w:eastAsia="Consolas" w:hAnsi="Consolas"/>
                <w:color w:val="2F5D3A"/>
                <w:sz w:val="18"/>
                <w:szCs w:val="18"/>
              </w:rPr>
              <w:t xml:space="preserve">importa_albo</w:t>
            </w:r>
            <w:r>
              <w:rPr>
                <w:rFonts w:ascii="Arial" w:cs="Arial" w:eastAsia="Arial" w:hAnsi="Arial"/>
                <w:color w:val="1B2118"/>
                <w:sz w:val="18"/>
                <w:szCs w:val="18"/>
              </w:rPr>
              <w:t xml:space="preserve"> (iscritti all'Albo Gestori Ambientali per sezione regionale, solo categoria 1 ordinaria; PEC ed email dei gestori pubblici da IndicePA), </w:t>
            </w:r>
            <w:r>
              <w:rPr>
                <w:rFonts w:ascii="Consolas" w:cs="Consolas" w:eastAsia="Consolas" w:hAnsi="Consolas"/>
                <w:color w:val="2F5D3A"/>
                <w:sz w:val="18"/>
                <w:szCs w:val="18"/>
              </w:rPr>
              <w:t xml:space="preserve">prova_campagna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invia_campagna</w:t>
            </w:r>
            <w:r>
              <w:rPr>
                <w:rFonts w:ascii="Arial" w:cs="Arial" w:eastAsia="Arial" w:hAnsi="Arial"/>
                <w:color w:val="1B2118"/>
                <w:sz w:val="18"/>
                <w:szCs w:val="18"/>
              </w:rPr>
              <w:t xml:space="preserve"> (a blocchi di 50, solo email generiche, intestazione List-Unsubscribe). Azioni pubbliche della pagina /scopri: </w:t>
            </w:r>
            <w:r>
              <w:rPr>
                <w:rFonts w:ascii="Consolas" w:cs="Consolas" w:eastAsia="Consolas" w:hAnsi="Consolas"/>
                <w:color w:val="2F5D3A"/>
                <w:sz w:val="18"/>
                <w:szCs w:val="18"/>
              </w:rPr>
              <w:t xml:space="preserve">visita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simulata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disiscrivi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richiesta</w:t>
            </w:r>
            <w:r>
              <w:rPr>
                <w:rFonts w:ascii="Arial" w:cs="Arial" w:eastAsia="Arial" w:hAnsi="Arial"/>
                <w:color w:val="1B2118"/>
                <w:sz w:val="18"/>
                <w:szCs w:val="18"/>
              </w:rPr>
              <w:t xml:space="preserve"> (campo trappola, 3 richieste all'ora per email e 30 in tutto, notifica ed email a tutti gli Amministratori)</w:t>
            </w:r>
          </w:p>
        </w:tc>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(pagina pubblica): le azioni riservate controllano da sole token e ruolo Amministratore</w:t>
            </w:r>
          </w:p>
        </w:tc>
        <w:tc>
          <w:tcPr>
            <w:tcW w:type="dxa" w:w="2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Pubblicata il 23/10/2026 alle 12:15 (OK di Luca), Verify JWT disattivato; aggiornata alle 12:25 e 12:35 (correzioni dell'importazione). Segreti: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già presente,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facoltativi</w:t>
            </w:r>
          </w:p>
        </w:tc>
      </w:tr>
      <w:tr>
        <w:trPr>
          <w:cantSplit/>
        </w:trPr>
        <w:tc>
          <w:tcPr>
            <w:tcW w:type="dxa" w:w="2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3863"/>
        <w:gridCol w:w="264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38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6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«Approfondisci» delle campagne: presentazione, micro simulazione di costi e ricavi (7, 10 o 21 anni, Caso 1 o 2), fascicolo PDF, richiesta di registrazione; pagina per non ricevere altre comunicazioni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 (codice casuale dell'invio nel collegamento)</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/marketing</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Comuni, Gestori, Campagne, Richieste, Importazioni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38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6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38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6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b/>
                <w:bCs/>
                <w:color w:val="1B2118"/>
                <w:sz w:val="18"/>
                <w:szCs w:val="18"/>
              </w:rPr>
              <w:t xml:space="preserve">Marketing</w:t>
            </w:r>
            <w:r>
              <w:rPr>
                <w:rFonts w:ascii="Arial" w:cs="Arial" w:eastAsia="Arial" w:hAnsi="Arial"/>
                <w:color w:val="1B2118"/>
                <w:sz w:val="18"/>
                <w:szCs w:val="18"/>
              </w:rPr>
              <w:t xml:space="preserve"> (dal 23/10),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crediti/{ImportaTracciato,RegistroCrediti,TabellaDati,UtenzeCalcolo}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ValoreCrediti</w:t>
      </w:r>
      <w:r>
        <w:rPr>
          <w:rFonts w:ascii="Arial" w:cs="Arial" w:eastAsia="Arial" w:hAnsi="Arial"/>
          <w:color w:val="1B2118"/>
          <w:sz w:val="21"/>
          <w:szCs w:val="21"/>
        </w:rPr>
        <w:t xml:space="preserve"> (valore dei crediti in Dashboard e Le mie pratiche), </w:t>
      </w:r>
      <w:r>
        <w:rPr>
          <w:rFonts w:ascii="Consolas" w:cs="Consolas" w:eastAsia="Consolas" w:hAnsi="Consolas"/>
          <w:color w:val="2F5D3A"/>
          <w:sz w:val="21"/>
          <w:szCs w:val="21"/>
        </w:rPr>
        <w:t xml:space="preserve">impostazioni/PrezzoRiferimento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marketing/{ElencoEnti,Campagne,Richieste,Importazioni}</w:t>
      </w:r>
      <w:r>
        <w:rPr>
          <w:rFonts w:ascii="Arial" w:cs="Arial" w:eastAsia="Arial" w:hAnsi="Arial"/>
          <w:color w:val="1B2118"/>
          <w:sz w:val="21"/>
          <w:szCs w:val="21"/>
        </w:rPr>
        <w:t xml:space="preserve"> (sezione Marketing).</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crediti/{bancaDatiUtenze,utenzeCalcolo}.js</w:t>
      </w:r>
      <w:r>
        <w:rPr>
          <w:rFonts w:ascii="Arial" w:cs="Arial" w:eastAsia="Arial" w:hAnsi="Arial"/>
          <w:color w:val="1B2118"/>
          <w:sz w:val="21"/>
          <w:szCs w:val="21"/>
        </w:rPr>
        <w:t xml:space="preserve"> (Banca Dati Utenze per utenza),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 </w:t>
      </w:r>
      <w:r>
        <w:rPr>
          <w:rFonts w:ascii="Consolas" w:cs="Consolas" w:eastAsia="Consolas" w:hAnsi="Consolas"/>
          <w:color w:val="2F5D3A"/>
          <w:sz w:val="21"/>
          <w:szCs w:val="21"/>
        </w:rPr>
        <w:t xml:space="preserve">marketing.js</w:t>
      </w:r>
      <w:r>
        <w:rPr>
          <w:rFonts w:ascii="Arial" w:cs="Arial" w:eastAsia="Arial" w:hAnsi="Arial"/>
          <w:color w:val="1B2118"/>
          <w:sz w:val="21"/>
          <w:szCs w:val="21"/>
        </w:rPr>
        <w:t xml:space="preserve"> (email della campagna, regole di IndicePA, micro simulazione) e </w:t>
      </w:r>
      <w:r>
        <w:rPr>
          <w:rFonts w:ascii="Consolas" w:cs="Consolas" w:eastAsia="Consolas" w:hAnsi="Consolas"/>
          <w:color w:val="2F5D3A"/>
          <w:sz w:val="21"/>
          <w:szCs w:val="21"/>
        </w:rPr>
        <w:t xml:space="preserve">marketingDati.js</w:t>
      </w:r>
      <w:r>
        <w:rPr>
          <w:rFonts w:ascii="Arial" w:cs="Arial" w:eastAsia="Arial" w:hAnsi="Arial"/>
          <w:color w:val="1B2118"/>
          <w:sz w:val="21"/>
          <w:szCs w:val="21"/>
        </w:rPr>
        <w:t xml:space="preserve"> (dati del Marketing).</w:t>
      </w:r>
    </w:p>
    <w:p>
      <w:pPr>
        <w:pStyle w:val="ListParagraph"/>
        <w:numPr>
          <w:ilvl w:val="0"/>
          <w:numId w:val="3"/>
        </w:numPr>
        <w:spacing w:after="70" w:line="290"/>
      </w:pPr>
      <w:r>
        <w:rPr>
          <w:rFonts w:ascii="Consolas" w:cs="Consolas" w:eastAsia="Consolas" w:hAnsi="Consolas"/>
          <w:color w:val="2F5D3A"/>
          <w:sz w:val="21"/>
          <w:szCs w:val="21"/>
        </w:rPr>
        <w:t xml:space="preserve">public/marketing/</w:t>
      </w:r>
      <w:r>
        <w:rPr>
          <w:rFonts w:ascii="Arial" w:cs="Arial" w:eastAsia="Arial" w:hAnsi="Arial"/>
          <w:color w:val="1B2118"/>
          <w:sz w:val="21"/>
          <w:szCs w:val="21"/>
        </w:rPr>
        <w:t xml:space="preserve"> — grafiche delle campagne, fascicolo informativo PDF (</w:t>
      </w:r>
      <w:r>
        <w:rPr>
          <w:rFonts w:ascii="Consolas" w:cs="Consolas" w:eastAsia="Consolas" w:hAnsi="Consolas"/>
          <w:color w:val="2F5D3A"/>
          <w:sz w:val="21"/>
          <w:szCs w:val="21"/>
        </w:rPr>
        <w:t xml:space="preserve">strumenti/genera_fascicolo_marketing.mjs</w:t>
      </w:r>
      <w:r>
        <w:rPr>
          <w:rFonts w:ascii="Arial" w:cs="Arial" w:eastAsia="Arial" w:hAnsi="Arial"/>
          <w:color w:val="1B2118"/>
          <w:sz w:val="21"/>
          <w:szCs w:val="21"/>
        </w:rPr>
        <w:t xml:space="preserve">), elenco ISTAT dei Comuni.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dei collaudi, dell'assistente, delle notizie, dei rilievi N, della Banca Dati Utenze e delle utenze nel calcolo e del Marketing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20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23/10/2026)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8"/>
        <w:gridCol w:w="2162"/>
        <w:gridCol w:w="4788"/>
      </w:tblGrid>
      <w:tr>
        <w:trPr>
          <w:tblHeader/>
        </w:trPr>
        <w:tc>
          <w:tcPr>
            <w:tcW w:type="dxa" w:w="26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7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dal 23/10 valore dei crediti in simulazione e in fase esecutiva (crediti ed euro) e valore dei progetti per il cliente (Caso 1 / Caso 2), anche per i Comuni, solo i propri; ricerca, azioni con motivazione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Banca Dati Utenze per utenza (passo 5a: file dell'anno, moduli, categoria tariffaria e di simulazione) usata dal motore dal 23/10/2026;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(richiesta del 23/10)</w:t>
            </w:r>
          </w:p>
        </w:tc>
        <w:tc>
          <w:tcPr>
            <w:tcW w:type="dxa" w:w="21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(in produzione dal 23/10)</w:t>
            </w:r>
          </w:p>
        </w:tc>
        <w:tc>
          <w:tcPr>
            <w:tcW w:type="dxa" w:w="47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Banche dati di tutti i Comuni (ISTAT + IndicePA) e dei gestori dell'Albo in categoria 1 con PEC, email generica e referenti; campagne email con grafica verso i destinatari scelti (solo email generiche, mai PEC), pagina pubblica /scopri con micro simulazione, fascicolo PDF e richiesta di registrazione a tutti gli Amministratori. Banche dati caricate il 23/10: 7.904 Comuni (5.642 con email generica, 7.504 con PEC e referenti) e 5.818 gestori in categoria 1. Mancano: dominio email verificato, verifica legale delle email promozionali, verifica sui siti delle attività e dei referenti dei gestori</w:t>
            </w:r>
          </w:p>
        </w:tc>
      </w:tr>
      <w:tr>
        <w:trPr>
          <w:cantSplit/>
        </w:trPr>
        <w:tc>
          <w:tcPr>
            <w:tcW w:type="dxa" w:w="26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7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23 ottobre 2026</w:t>
      </w:r>
    </w:p>
    <w:p>
      <w:pPr>
        <w:pStyle w:val="ListParagraph"/>
        <w:numPr>
          <w:ilvl w:val="0"/>
          <w:numId w:val="3"/>
        </w:numPr>
        <w:spacing w:after="70" w:line="290"/>
      </w:pPr>
      <w:r>
        <w:rPr>
          <w:rFonts w:ascii="Arial" w:cs="Arial" w:eastAsia="Arial" w:hAnsi="Arial"/>
          <w:b/>
          <w:bCs/>
          <w:color w:val="1B2118"/>
          <w:sz w:val="21"/>
          <w:szCs w:val="21"/>
        </w:rPr>
        <w:t xml:space="preserve">Marketing: verifica dei gestori sui loro siti, primo lotto</w:t>
      </w:r>
      <w:r>
        <w:rPr>
          <w:rFonts w:ascii="Arial" w:cs="Arial" w:eastAsia="Arial" w:hAnsi="Arial"/>
          <w:color w:val="1B2118"/>
          <w:sz w:val="21"/>
          <w:szCs w:val="21"/>
        </w:rPr>
        <w:t xml:space="preserve"> (richiesta di Luca delle 14:22). Priorità per classe di iscrizione alla categoria 1 (A ≥ 500.000 abitanti … F &lt; 5.000): in Italia A 267, B 356, C 554, D 567, E 918, F 3.156. Primo lotto: Lombardia, classi A e B (78 imprese), ricerca su fonti pubbliche (sito dell'impresa, Amministrazione trasparente, carte dei servizi dei Comuni, bandi TED, notizie) con la fonte di ogni dato; scartati i dati incerti (impresa forse diversa da quella iscritta, email della capogruppo, sito di gruppo, un nome di direttore letto da un documento illeggibile).</w:t>
      </w:r>
    </w:p>
    <w:p>
      <w:pPr>
        <w:pStyle w:val="ListParagraph"/>
        <w:numPr>
          <w:ilvl w:val="1"/>
          <w:numId w:val="3"/>
        </w:numPr>
        <w:spacing w:after="70" w:line="290"/>
      </w:pPr>
      <w:r>
        <w:rPr>
          <w:rFonts w:ascii="Arial" w:cs="Arial" w:eastAsia="Arial" w:hAnsi="Arial"/>
          <w:color w:val="1B2118"/>
          <w:sz w:val="20"/>
          <w:szCs w:val="20"/>
        </w:rPr>
        <w:t xml:space="preserve">Caricate alle 15:15 nel SQL Editor 68 imprese (10 non ricercate per il limite di 200 ricerche web per turno): 22 con raccolta per Comuni, 7 con gestione della tariffa, 22 nuove email generiche, 24 referenti (amministratori, direttori generali e tecnici) con fonte.</w:t>
      </w:r>
    </w:p>
    <w:p>
      <w:pPr>
        <w:pStyle w:val="ListParagraph"/>
        <w:numPr>
          <w:ilvl w:val="1"/>
          <w:numId w:val="3"/>
        </w:numPr>
        <w:spacing w:after="70" w:line="290"/>
      </w:pPr>
      <w:r>
        <w:rPr>
          <w:rFonts w:ascii="Arial" w:cs="Arial" w:eastAsia="Arial" w:hAnsi="Arial"/>
          <w:color w:val="1B2118"/>
          <w:sz w:val="20"/>
          <w:szCs w:val="20"/>
        </w:rPr>
        <w:t xml:space="preserve">Strumento </w:t>
      </w:r>
      <w:r>
        <w:rPr>
          <w:rFonts w:ascii="Consolas" w:cs="Consolas" w:eastAsia="Consolas" w:hAnsi="Consolas"/>
          <w:color w:val="2F5D3A"/>
          <w:sz w:val="20"/>
          <w:szCs w:val="20"/>
        </w:rPr>
        <w:t xml:space="preserve">strumenti/marketing_arricchimento_sql.py</w:t>
      </w:r>
      <w:r>
        <w:rPr>
          <w:rFonts w:ascii="Arial" w:cs="Arial" w:eastAsia="Arial" w:hAnsi="Arial"/>
          <w:color w:val="1B2118"/>
          <w:sz w:val="20"/>
          <w:szCs w:val="20"/>
        </w:rPr>
        <w:t xml:space="preserve"> (risultati JSON → SQL: aggiorna solo i campi trovati, mai PEC nell'email generica, </w:t>
      </w:r>
      <w:r>
        <w:rPr>
          <w:rFonts w:ascii="Consolas" w:cs="Consolas" w:eastAsia="Consolas" w:hAnsi="Consolas"/>
          <w:color w:val="2F5D3A"/>
          <w:sz w:val="20"/>
          <w:szCs w:val="20"/>
        </w:rPr>
        <w:t xml:space="preserve">verificato_il</w:t>
      </w:r>
      <w:r>
        <w:rPr>
          <w:rFonts w:ascii="Arial" w:cs="Arial" w:eastAsia="Arial" w:hAnsi="Arial"/>
          <w:color w:val="1B2118"/>
          <w:sz w:val="20"/>
          <w:szCs w:val="20"/>
        </w:rPr>
        <w:t xml:space="preserve">, fonti e note con le URL); provato sul banco.</w:t>
      </w:r>
    </w:p>
    <w:p>
      <w:pPr>
        <w:pStyle w:val="ListParagraph"/>
        <w:numPr>
          <w:ilvl w:val="1"/>
          <w:numId w:val="3"/>
        </w:numPr>
        <w:spacing w:after="70" w:line="290"/>
      </w:pPr>
      <w:r>
        <w:rPr>
          <w:rFonts w:ascii="Arial" w:cs="Arial" w:eastAsia="Arial" w:hAnsi="Arial"/>
          <w:color w:val="1B2118"/>
          <w:sz w:val="20"/>
          <w:szCs w:val="20"/>
        </w:rPr>
        <w:t xml:space="preserve">Da completare: le 10 imprese lombarde rimaste e, a lotti di circa 70, le classi A-C delle altre regioni (circa 1.100 imprese).</w:t>
      </w:r>
    </w:p>
    <w:p>
      <w:pPr>
        <w:pStyle w:val="ListParagraph"/>
        <w:numPr>
          <w:ilvl w:val="0"/>
          <w:numId w:val="3"/>
        </w:numPr>
        <w:spacing w:after="70" w:line="290"/>
      </w:pPr>
      <w:r>
        <w:rPr>
          <w:rFonts w:ascii="Arial" w:cs="Arial" w:eastAsia="Arial" w:hAnsi="Arial"/>
          <w:b/>
          <w:bCs/>
          <w:color w:val="1B2118"/>
          <w:sz w:val="21"/>
          <w:szCs w:val="21"/>
        </w:rPr>
        <w:t xml:space="preserve">Marketing in produzione</w:t>
      </w:r>
      <w:r>
        <w:rPr>
          <w:rFonts w:ascii="Arial" w:cs="Arial" w:eastAsia="Arial" w:hAnsi="Arial"/>
          <w:color w:val="1B2118"/>
          <w:sz w:val="21"/>
          <w:szCs w:val="21"/>
        </w:rPr>
        <w:t xml:space="preserve"> (OK di Luca delle 12:08).</w:t>
      </w:r>
    </w:p>
    <w:p>
      <w:pPr>
        <w:pStyle w:val="ListParagraph"/>
        <w:numPr>
          <w:ilvl w:val="1"/>
          <w:numId w:val="3"/>
        </w:numPr>
        <w:spacing w:after="70" w:line="290"/>
      </w:pPr>
      <w:r>
        <w:rPr>
          <w:rFonts w:ascii="Arial" w:cs="Arial" w:eastAsia="Arial" w:hAnsi="Arial"/>
          <w:color w:val="1B2118"/>
          <w:sz w:val="20"/>
          <w:szCs w:val="20"/>
        </w:rPr>
        <w:t xml:space="preserve">12:12 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eseguito (avviso del SQL Editor «tabelle senza RLS» confermato con «Run without RLS»: lo script attiva da sé la RLS sulle 6 tabelle, verifica finale «tabelle_marketing_con_rls 6»).</w:t>
      </w:r>
    </w:p>
    <w:p>
      <w:pPr>
        <w:pStyle w:val="ListParagraph"/>
        <w:numPr>
          <w:ilvl w:val="1"/>
          <w:numId w:val="3"/>
        </w:numPr>
        <w:spacing w:after="70" w:line="290"/>
      </w:pPr>
      <w:r>
        <w:rPr>
          <w:rFonts w:ascii="Arial" w:cs="Arial" w:eastAsia="Arial" w:hAnsi="Arial"/>
          <w:color w:val="1B2118"/>
          <w:sz w:val="20"/>
          <w:szCs w:val="20"/>
        </w:rPr>
        <w:t xml:space="preserve">12:15 funzione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pubblicata, Verify JWT disattivato; main pubblicato (</w:t>
      </w:r>
      <w:r>
        <w:rPr>
          <w:rFonts w:ascii="Consolas" w:cs="Consolas" w:eastAsia="Consolas" w:hAnsi="Consolas"/>
          <w:color w:val="2F5D3A"/>
          <w:sz w:val="20"/>
          <w:szCs w:val="20"/>
        </w:rPr>
        <w:t xml:space="preserve">41c5883</w:t>
      </w:r>
      <w:r>
        <w:rPr>
          <w:rFonts w:ascii="Arial" w:cs="Arial" w:eastAsia="Arial" w:hAnsi="Arial"/>
          <w:color w:val="1B2118"/>
          <w:sz w:val="20"/>
          <w:szCs w:val="20"/>
        </w:rPr>
        <w:t xml:space="preserve">), Vercel ok.</w:t>
      </w:r>
    </w:p>
    <w:p>
      <w:pPr>
        <w:pStyle w:val="ListParagraph"/>
        <w:numPr>
          <w:ilvl w:val="1"/>
          <w:numId w:val="3"/>
        </w:numPr>
        <w:spacing w:after="70" w:line="290"/>
      </w:pPr>
      <w:r>
        <w:rPr>
          <w:rFonts w:ascii="Arial" w:cs="Arial" w:eastAsia="Arial" w:hAnsi="Arial"/>
          <w:color w:val="1B2118"/>
          <w:sz w:val="20"/>
          <w:szCs w:val="20"/>
        </w:rPr>
        <w:t xml:space="preserve">Primo aggiornamento dei Comuni: ISTAT ok, IndicePA in errore «ON CONFLICT DO UPDATE command cannot affect row a second time»: nella categoria L6 ci sono anche Unioni e Consorzi con il codice ISTAT del Comune sede (8.046 righe, 7.891 codici di Comuni). Correzione: una sola riga per Comune, quella dell'ente «Comune…» (</w:t>
      </w:r>
      <w:r>
        <w:rPr>
          <w:rFonts w:ascii="Consolas" w:cs="Consolas" w:eastAsia="Consolas" w:hAnsi="Consolas"/>
          <w:color w:val="2F5D3A"/>
          <w:sz w:val="20"/>
          <w:szCs w:val="20"/>
        </w:rPr>
        <w:t xml:space="preserve">712b4ab</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La lettura unica degli uffici mandava IndicePA in errore («App offline»): ora a blocchi di 400 Comuni; l'Albo si legge una provincia per chiamata (tempi della funzione) e se IndicePA non risponde i gestori restano salvati (</w:t>
      </w:r>
      <w:r>
        <w:rPr>
          <w:rFonts w:ascii="Consolas" w:cs="Consolas" w:eastAsia="Consolas" w:hAnsi="Consolas"/>
          <w:color w:val="2F5D3A"/>
          <w:sz w:val="20"/>
          <w:szCs w:val="20"/>
        </w:rPr>
        <w:t xml:space="preserve">5ba8eab</w:t>
      </w:r>
      <w:r>
        <w:rPr>
          <w:rFonts w:ascii="Arial" w:cs="Arial" w:eastAsia="Arial" w:hAnsi="Arial"/>
          <w:color w:val="1B2118"/>
          <w:sz w:val="20"/>
          <w:szCs w:val="20"/>
        </w:rPr>
        <w:t xml:space="preserve">). Funzione ripubblicata.</w:t>
      </w:r>
    </w:p>
    <w:p>
      <w:pPr>
        <w:pStyle w:val="ListParagraph"/>
        <w:numPr>
          <w:ilvl w:val="1"/>
          <w:numId w:val="3"/>
        </w:numPr>
        <w:spacing w:after="70" w:line="290"/>
      </w:pPr>
      <w:r>
        <w:rPr>
          <w:rFonts w:ascii="Arial" w:cs="Arial" w:eastAsia="Arial" w:hAnsi="Arial"/>
          <w:color w:val="1B2118"/>
          <w:sz w:val="20"/>
          <w:szCs w:val="20"/>
        </w:rPr>
        <w:t xml:space="preserve">Risultato: </w:t>
      </w:r>
      <w:r>
        <w:rPr>
          <w:rFonts w:ascii="Arial" w:cs="Arial" w:eastAsia="Arial" w:hAnsi="Arial"/>
          <w:b/>
          <w:bCs/>
          <w:color w:val="1B2118"/>
          <w:sz w:val="20"/>
          <w:szCs w:val="20"/>
        </w:rPr>
        <w:t xml:space="preserve">7.904 Comuni</w:t>
      </w:r>
      <w:r>
        <w:rPr>
          <w:rFonts w:ascii="Arial" w:cs="Arial" w:eastAsia="Arial" w:hAnsi="Arial"/>
          <w:color w:val="1B2118"/>
          <w:sz w:val="20"/>
          <w:szCs w:val="20"/>
        </w:rPr>
        <w:t xml:space="preserve"> (7.504 con PEC e legale rappresentante da IndicePA, 5.642 con email generica; referenti: tecnico 5.079, finanziario 3.218, tributi 1.969, ambiente 1.397) e </w:t>
      </w:r>
      <w:r>
        <w:rPr>
          <w:rFonts w:ascii="Arial" w:cs="Arial" w:eastAsia="Arial" w:hAnsi="Arial"/>
          <w:b/>
          <w:bCs/>
          <w:color w:val="1B2118"/>
          <w:sz w:val="20"/>
          <w:szCs w:val="20"/>
        </w:rPr>
        <w:t xml:space="preserve">5.818 gestori</w:t>
      </w:r>
      <w:r>
        <w:rPr>
          <w:rFonts w:ascii="Arial" w:cs="Arial" w:eastAsia="Arial" w:hAnsi="Arial"/>
          <w:color w:val="1B2118"/>
          <w:sz w:val="20"/>
          <w:szCs w:val="20"/>
        </w:rPr>
        <w:t xml:space="preserve"> in categoria 1 ordinaria (145 con PEC e 34 con email generica da IndicePA, i pubblici). Pagina pubblica /scopri, fascicolo e grafiche raggiungibili dal vivo.</w:t>
      </w:r>
    </w:p>
    <w:p>
      <w:pPr>
        <w:pStyle w:val="ListParagraph"/>
        <w:numPr>
          <w:ilvl w:val="0"/>
          <w:numId w:val="3"/>
        </w:numPr>
        <w:spacing w:after="70" w:line="290"/>
      </w:pPr>
      <w:r>
        <w:rPr>
          <w:rFonts w:ascii="Arial" w:cs="Arial" w:eastAsia="Arial" w:hAnsi="Arial"/>
          <w:b/>
          <w:bCs/>
          <w:color w:val="1B2118"/>
          <w:sz w:val="21"/>
          <w:szCs w:val="21"/>
        </w:rPr>
        <w:t xml:space="preserve">Sezione Marketing</w:t>
      </w:r>
      <w:r>
        <w:rPr>
          <w:rFonts w:ascii="Arial" w:cs="Arial" w:eastAsia="Arial" w:hAnsi="Arial"/>
          <w:color w:val="1B2118"/>
          <w:sz w:val="21"/>
          <w:szCs w:val="21"/>
        </w:rPr>
        <w:t xml:space="preserve"> (richiesta di Luca del 23/10; scelte di Luca: gestori = tutta la categoria 1 dell'Albo; nessun invio «a tutti», per ogni campagna si scelgono Comuni e gestori). Ramo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f8d3593</w:t>
      </w:r>
      <w:r>
        <w:rPr>
          <w:rFonts w:ascii="Arial" w:cs="Arial" w:eastAsia="Arial" w:hAnsi="Arial"/>
          <w:color w:val="1B2118"/>
          <w:sz w:val="21"/>
          <w:szCs w:val="21"/>
        </w:rPr>
        <w:t xml:space="preserve"> e seguenti. Dettaglio nel capitolo 16 «Marketing».</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44_marketing.sql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t44.sql</w:t>
      </w:r>
      <w:r>
        <w:rPr>
          <w:rFonts w:ascii="Arial" w:cs="Arial" w:eastAsia="Arial" w:hAnsi="Arial"/>
          <w:color w:val="1B2118"/>
          <w:sz w:val="20"/>
          <w:szCs w:val="20"/>
        </w:rPr>
        <w:t xml:space="preserve"> sul banco ricostruito con gli script 01-44: PEC rifiutata nel campo email, enti senza email e indirizzi disiscritti saltati, niente doppioni, campagna inviata bloccata, Comuni e anonimi senza accesso, audit di campagne e richieste). La prova ha trovato un errore: l'audit vuole un id uuid, </w:t>
      </w:r>
      <w:r>
        <w:rPr>
          <w:rFonts w:ascii="Consolas" w:cs="Consolas" w:eastAsia="Consolas" w:hAnsi="Consolas"/>
          <w:color w:val="2F5D3A"/>
          <w:sz w:val="20"/>
          <w:szCs w:val="20"/>
        </w:rPr>
        <w:t xml:space="preserve">mkt_richiesta</w:t>
      </w:r>
      <w:r>
        <w:rPr>
          <w:rFonts w:ascii="Arial" w:cs="Arial" w:eastAsia="Arial" w:hAnsi="Arial"/>
          <w:color w:val="1B2118"/>
          <w:sz w:val="20"/>
          <w:szCs w:val="20"/>
        </w:rPr>
        <w:t xml:space="preserve"> lo aveva numerico; corretto prima del rilascio.</w:t>
      </w:r>
    </w:p>
    <w:p>
      <w:pPr>
        <w:pStyle w:val="ListParagraph"/>
        <w:numPr>
          <w:ilvl w:val="1"/>
          <w:numId w:val="3"/>
        </w:numPr>
        <w:spacing w:after="70" w:line="290"/>
      </w:pPr>
      <w:r>
        <w:rPr>
          <w:rFonts w:ascii="Arial" w:cs="Arial" w:eastAsia="Arial" w:hAnsi="Arial"/>
          <w:color w:val="1B2118"/>
          <w:sz w:val="20"/>
          <w:szCs w:val="20"/>
        </w:rPr>
        <w:t xml:space="preserve">Funzione del server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(importazioni, invio, azioni della pagina pubblica); pagina </w:t>
      </w:r>
      <w:r>
        <w:rPr>
          <w:rFonts w:ascii="Consolas" w:cs="Consolas" w:eastAsia="Consolas" w:hAnsi="Consolas"/>
          <w:color w:val="2F5D3A"/>
          <w:sz w:val="20"/>
          <w:szCs w:val="20"/>
        </w:rPr>
        <w:t xml:space="preserve">/marketing</w:t>
      </w:r>
      <w:r>
        <w:rPr>
          <w:rFonts w:ascii="Arial" w:cs="Arial" w:eastAsia="Arial" w:hAnsi="Arial"/>
          <w:color w:val="1B2118"/>
          <w:sz w:val="20"/>
          <w:szCs w:val="20"/>
        </w:rPr>
        <w:t xml:space="preserve"> (Comuni, Gestori, Campagne, Richieste, Importazioni) e pagina pubblica </w:t>
      </w:r>
      <w:r>
        <w:rPr>
          <w:rFonts w:ascii="Consolas" w:cs="Consolas" w:eastAsia="Consolas" w:hAnsi="Consolas"/>
          <w:color w:val="2F5D3A"/>
          <w:sz w:val="20"/>
          <w:szCs w:val="20"/>
        </w:rPr>
        <w:t xml:space="preserve">/scopri</w:t>
      </w:r>
      <w:r>
        <w:rPr>
          <w:rFonts w:ascii="Arial" w:cs="Arial" w:eastAsia="Arial" w:hAnsi="Arial"/>
          <w:color w:val="1B2118"/>
          <w:sz w:val="20"/>
          <w:szCs w:val="20"/>
        </w:rPr>
        <w:t xml:space="preserve"> con micro simulazione (motore del simulatore), fascicolo PDF (</w:t>
      </w:r>
      <w:r>
        <w:rPr>
          <w:rFonts w:ascii="Consolas" w:cs="Consolas" w:eastAsia="Consolas" w:hAnsi="Consolas"/>
          <w:color w:val="2F5D3A"/>
          <w:sz w:val="20"/>
          <w:szCs w:val="20"/>
        </w:rPr>
        <w:t xml:space="preserve">public/marketing/Fascicolo_Carbon_WastePrint.pdf</w:t>
      </w:r>
      <w:r>
        <w:rPr>
          <w:rFonts w:ascii="Arial" w:cs="Arial" w:eastAsia="Arial" w:hAnsi="Arial"/>
          <w:color w:val="1B2118"/>
          <w:sz w:val="20"/>
          <w:szCs w:val="20"/>
        </w:rPr>
        <w:t xml:space="preserve">, 6 pagine) e richiesta di registrazione; due grafiche per l'intestazione delle email.</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test/marketing.test.mjs</w:t>
      </w:r>
      <w:r>
        <w:rPr>
          <w:rFonts w:ascii="Arial" w:cs="Arial" w:eastAsia="Arial" w:hAnsi="Arial"/>
          <w:color w:val="1B2118"/>
          <w:sz w:val="20"/>
          <w:szCs w:val="20"/>
        </w:rPr>
        <w:t xml:space="preserve"> (8): copie identiche tra portale e funzione, regole PEC uguali al database, email della campagna, controlli e valori noti della micro simulazione (16.735 abitanti, 8.000 t, 2.400 t di secco, 10 anni, Caso 1: 20.445 crediti, ricavi 654.240 €, costi 162.330 €, margine 491.910 €).</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 (nessuno scorrimento orizzontale; corretti la tabella delle Importazioni e il grafico sul telefono).</w:t>
      </w:r>
    </w:p>
    <w:p>
      <w:pPr>
        <w:pStyle w:val="ListParagraph"/>
        <w:numPr>
          <w:ilvl w:val="1"/>
          <w:numId w:val="3"/>
        </w:numPr>
        <w:spacing w:after="70" w:line="290"/>
      </w:pPr>
      <w:r>
        <w:rPr>
          <w:rFonts w:ascii="Arial" w:cs="Arial" w:eastAsia="Arial" w:hAnsi="Arial"/>
          <w:color w:val="1B2118"/>
          <w:sz w:val="20"/>
          <w:szCs w:val="20"/>
        </w:rPr>
        <w:t xml:space="preserve">Rilascio in produzione: voce «Marketing in produzione» qui sopra. Prima degli invii reali: dominio email verificato su Resend e verifica legale delle email promozionali.</w:t>
      </w:r>
    </w:p>
    <w:p>
      <w:pPr>
        <w:pStyle w:val="ListParagraph"/>
        <w:numPr>
          <w:ilvl w:val="0"/>
          <w:numId w:val="3"/>
        </w:numPr>
        <w:spacing w:after="70" w:line="290"/>
      </w:pPr>
      <w:r>
        <w:rPr>
          <w:rFonts w:ascii="Arial" w:cs="Arial" w:eastAsia="Arial" w:hAnsi="Arial"/>
          <w:b/>
          <w:bCs/>
          <w:color w:val="1B2118"/>
          <w:sz w:val="21"/>
          <w:szCs w:val="21"/>
        </w:rPr>
        <w:t xml:space="preserve">Script 34 in produzione</w:t>
      </w:r>
      <w:r>
        <w:rPr>
          <w:rFonts w:ascii="Arial" w:cs="Arial" w:eastAsia="Arial" w:hAnsi="Arial"/>
          <w:color w:val="1B2118"/>
          <w:sz w:val="21"/>
          <w:szCs w:val="21"/>
        </w:rPr>
        <w:t xml:space="preserve"> (OK di Luca delle 11:12). Prima, prova sul banco nello stesso ordine della produzione (script 01-33 e 35-43, poi 34): 95 funzioni SECURITY DEFINER eseguibili senza accesso ridotte alle 9 necessarie (regole di accesso e </w:t>
      </w:r>
      <w:r>
        <w:rPr>
          <w:rFonts w:ascii="Consolas" w:cs="Consolas" w:eastAsia="Consolas" w:hAnsi="Consolas"/>
          <w:color w:val="2F5D3A"/>
          <w:sz w:val="21"/>
          <w:szCs w:val="21"/>
        </w:rPr>
        <w:t xml:space="preserve">registra_accesso_fallito</w:t>
      </w:r>
      <w:r>
        <w:rPr>
          <w:rFonts w:ascii="Arial" w:cs="Arial" w:eastAsia="Arial" w:hAnsi="Arial"/>
          <w:color w:val="1B2118"/>
          <w:sz w:val="21"/>
          <w:szCs w:val="21"/>
        </w:rPr>
        <w:t xml:space="preserve">), script rieseguibile, prove </w:t>
      </w:r>
      <w:r>
        <w:rPr>
          <w:rFonts w:ascii="Consolas" w:cs="Consolas" w:eastAsia="Consolas" w:hAnsi="Consolas"/>
          <w:color w:val="2F5D3A"/>
          <w:sz w:val="21"/>
          <w:szCs w:val="21"/>
        </w:rPr>
        <w:t xml:space="preserve">t34</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t43</w:t>
      </w:r>
      <w:r>
        <w:rPr>
          <w:rFonts w:ascii="Arial" w:cs="Arial" w:eastAsia="Arial" w:hAnsi="Arial"/>
          <w:color w:val="1B2118"/>
          <w:sz w:val="21"/>
          <w:szCs w:val="21"/>
        </w:rPr>
        <w:t xml:space="preserve"> come attese. In produzione alle 12:20 (avviso «operazioni distruttive» confermato: riguarda solo </w:t>
      </w:r>
      <w:r>
        <w:rPr>
          <w:rFonts w:ascii="Consolas" w:cs="Consolas" w:eastAsia="Consolas" w:hAnsi="Consolas"/>
          <w:color w:val="2F5D3A"/>
          <w:sz w:val="21"/>
          <w:szCs w:val="21"/>
        </w:rPr>
        <w:t xml:space="preserve">drop trigger/function if exists</w:t>
      </w:r>
      <w:r>
        <w:rPr>
          <w:rFonts w:ascii="Arial" w:cs="Arial" w:eastAsia="Arial" w:hAnsi="Arial"/>
          <w:color w:val="1B2118"/>
          <w:sz w:val="21"/>
          <w:szCs w:val="21"/>
        </w:rPr>
        <w:t xml:space="preserve">); verifica finale: le stesse 9 funzioni. Portale provato dal vivo: Dashboard, Audit User, Calcolo crediti e pagina pubblica /programma funzionano. Attivi gli avvisi all'Amministratore principale (5 accessi non riusciti in 15 minuti per email, 30 in un'ora, nuovo Amministratore) e il motivo «inattività» nell'uscita.</w:t>
      </w:r>
    </w:p>
    <w:p>
      <w:pPr>
        <w:pStyle w:val="ListParagraph"/>
        <w:numPr>
          <w:ilvl w:val="0"/>
          <w:numId w:val="3"/>
        </w:numPr>
        <w:spacing w:after="70" w:line="290"/>
      </w:pPr>
      <w:r>
        <w:rPr>
          <w:rFonts w:ascii="Arial" w:cs="Arial" w:eastAsia="Arial" w:hAnsi="Arial"/>
          <w:b/>
          <w:bCs/>
          <w:color w:val="1B2118"/>
          <w:sz w:val="21"/>
          <w:szCs w:val="21"/>
        </w:rPr>
        <w:t xml:space="preserve">Colori dello stato delle fasi</w:t>
      </w:r>
      <w:r>
        <w:rPr>
          <w:rFonts w:ascii="Arial" w:cs="Arial" w:eastAsia="Arial" w:hAnsi="Arial"/>
          <w:color w:val="1B2118"/>
          <w:sz w:val="21"/>
          <w:szCs w:val="21"/>
        </w:rPr>
        <w:t xml:space="preserve"> (richiesta di Luca delle 11:00): in </w:t>
      </w:r>
      <w:r>
        <w:rPr>
          <w:rFonts w:ascii="Consolas" w:cs="Consolas" w:eastAsia="Consolas" w:hAnsi="Consolas"/>
          <w:color w:val="2F5D3A"/>
          <w:sz w:val="21"/>
          <w:szCs w:val="21"/>
        </w:rPr>
        <w:t xml:space="preserve">STATI_FASE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scritta verde per Completata, arancio per In corso e In attesa di integrazione, rossa per Non iniziata; valgono per il badge della fase nella pratica e per la colonna «Fase corrente» della Dashboard. Verificato a schermo su computer e telefono. Ramo </w:t>
      </w:r>
      <w:r>
        <w:rPr>
          <w:rFonts w:ascii="Consolas" w:cs="Consolas" w:eastAsia="Consolas" w:hAnsi="Consolas"/>
          <w:color w:val="2F5D3A"/>
          <w:sz w:val="21"/>
          <w:szCs w:val="21"/>
        </w:rPr>
        <w:t xml:space="preserve">colori-stato-fasi</w:t>
      </w:r>
      <w:r>
        <w:rPr>
          <w:rFonts w:ascii="Arial" w:cs="Arial" w:eastAsia="Arial" w:hAnsi="Arial"/>
          <w:color w:val="1B2118"/>
          <w:sz w:val="21"/>
          <w:szCs w:val="21"/>
        </w:rPr>
        <w:t xml:space="preserve">, nessuno script.</w:t>
      </w:r>
    </w:p>
    <w:p>
      <w:pPr>
        <w:pStyle w:val="ListParagraph"/>
        <w:numPr>
          <w:ilvl w:val="0"/>
          <w:numId w:val="3"/>
        </w:numPr>
        <w:spacing w:after="70" w:line="290"/>
      </w:pPr>
      <w:r>
        <w:rPr>
          <w:rFonts w:ascii="Arial" w:cs="Arial" w:eastAsia="Arial" w:hAnsi="Arial"/>
          <w:b/>
          <w:bCs/>
          <w:color w:val="1B2118"/>
          <w:sz w:val="21"/>
          <w:szCs w:val="21"/>
        </w:rPr>
        <w:t xml:space="preserve">Valore dei progetti (quanto paga il cliente) e listino Caso 1 / Caso 2</w:t>
      </w:r>
      <w:r>
        <w:rPr>
          <w:rFonts w:ascii="Arial" w:cs="Arial" w:eastAsia="Arial" w:hAnsi="Arial"/>
          <w:color w:val="1B2118"/>
          <w:sz w:val="21"/>
          <w:szCs w:val="21"/>
        </w:rPr>
        <w:t xml:space="preserve"> (richiesta di Luca delle 10:47). Ramo </w:t>
      </w:r>
      <w:r>
        <w:rPr>
          <w:rFonts w:ascii="Consolas" w:cs="Consolas" w:eastAsia="Consolas" w:hAnsi="Consolas"/>
          <w:color w:val="2F5D3A"/>
          <w:sz w:val="21"/>
          <w:szCs w:val="21"/>
        </w:rPr>
        <w:t xml:space="preserve">valore-progetti-casi</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43_valore_progetti.sql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t43.sql</w:t>
      </w:r>
      <w:r>
        <w:rPr>
          <w:rFonts w:ascii="Arial" w:cs="Arial" w:eastAsia="Arial" w:hAnsi="Arial"/>
          <w:color w:val="1B2118"/>
          <w:sz w:val="20"/>
          <w:szCs w:val="20"/>
        </w:rPr>
        <w:t xml:space="preserve">): caso del listino sul Progetto, creazione e modifica dei dati con il caso, costo del cliente degli scenari, </w:t>
      </w:r>
      <w:r>
        <w:rPr>
          <w:rFonts w:ascii="Consolas" w:cs="Consolas" w:eastAsia="Consolas" w:hAnsi="Consolas"/>
          <w:color w:val="2F5D3A"/>
          <w:sz w:val="20"/>
          <w:szCs w:val="20"/>
        </w:rPr>
        <w:t xml:space="preserve">cruscotto_valore_progetti</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valoreProgettoCaso</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valoreProgetti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simulatore.js</w:t>
      </w:r>
      <w:r>
        <w:rPr>
          <w:rFonts w:ascii="Arial" w:cs="Arial" w:eastAsia="Arial" w:hAnsi="Arial"/>
          <w:color w:val="1B2118"/>
          <w:sz w:val="20"/>
          <w:szCs w:val="20"/>
        </w:rPr>
        <w:t xml:space="preserve"> (somma annua di </w:t>
      </w:r>
      <w:r>
        <w:rPr>
          <w:rFonts w:ascii="Consolas" w:cs="Consolas" w:eastAsia="Consolas" w:hAnsi="Consolas"/>
          <w:color w:val="2F5D3A"/>
          <w:sz w:val="20"/>
          <w:szCs w:val="20"/>
        </w:rPr>
        <w:t xml:space="preserve">costiPerCaso</w:t>
      </w:r>
      <w:r>
        <w:rPr>
          <w:rFonts w:ascii="Arial" w:cs="Arial" w:eastAsia="Arial" w:hAnsi="Arial"/>
          <w:color w:val="1B2118"/>
          <w:sz w:val="20"/>
          <w:szCs w:val="20"/>
        </w:rPr>
        <w:t xml:space="preserve"> × anni del periodo; 7 anni = stima), prove </w:t>
      </w:r>
      <w:r>
        <w:rPr>
          <w:rFonts w:ascii="Consolas" w:cs="Consolas" w:eastAsia="Consolas" w:hAnsi="Consolas"/>
          <w:color w:val="2F5D3A"/>
          <w:sz w:val="20"/>
          <w:szCs w:val="20"/>
        </w:rPr>
        <w:t xml:space="preserve">test/valoreProgetti.test.mjs</w:t>
      </w:r>
      <w:r>
        <w:rPr>
          <w:rFonts w:ascii="Arial" w:cs="Arial" w:eastAsia="Arial" w:hAnsi="Arial"/>
          <w:color w:val="1B2118"/>
          <w:sz w:val="20"/>
          <w:szCs w:val="20"/>
        </w:rPr>
        <w:t xml:space="preserve"> (4; Caso 1 a 16.735 ab. = 16.232,95 €/anno come nel rilievo N01).</w:t>
      </w:r>
    </w:p>
    <w:p>
      <w:pPr>
        <w:pStyle w:val="ListParagraph"/>
        <w:numPr>
          <w:ilvl w:val="1"/>
          <w:numId w:val="3"/>
        </w:numPr>
        <w:spacing w:after="70" w:line="290"/>
      </w:pPr>
      <w:r>
        <w:rPr>
          <w:rFonts w:ascii="Arial" w:cs="Arial" w:eastAsia="Arial" w:hAnsi="Arial"/>
          <w:color w:val="1B2118"/>
          <w:sz w:val="20"/>
          <w:szCs w:val="20"/>
        </w:rPr>
        <w:t xml:space="preserve">Nuovo progetto: listino obbligatorio con il valore del progetto; dati della pratica: riga «Listino» e «Valore del progetto per il cliente», listino modificabile; Dashboard e «Le mie pratiche»: terzo riquadro «Valore dei progetti (quanto paga il cliente)»; Simulatore: salva quanto paga il cliente con il Caso 1 o 2.</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11:50-12:00: script 43 eseguito («colonna caso 1, colonna costo 1, progetti da indicare 5»), main pubblicato (</w:t>
      </w:r>
      <w:r>
        <w:rPr>
          <w:rFonts w:ascii="Consolas" w:cs="Consolas" w:eastAsia="Consolas" w:hAnsi="Consolas"/>
          <w:color w:val="2F5D3A"/>
          <w:sz w:val="20"/>
          <w:szCs w:val="20"/>
        </w:rPr>
        <w:t xml:space="preserve">5d0f014</w:t>
      </w:r>
      <w:r>
        <w:rPr>
          <w:rFonts w:ascii="Arial" w:cs="Arial" w:eastAsia="Arial" w:hAnsi="Arial"/>
          <w:color w:val="1B2118"/>
          <w:sz w:val="20"/>
          <w:szCs w:val="20"/>
        </w:rPr>
        <w:t xml:space="preserve">). Dashboard dal vivo: riquadro «Valore dei progetti» a 0 €, perché i 5 Progetti esistenti (anche di collaudo) hanno il listino «da indicare»: lo sceglie lo staff nei dati di ogni pratica (nessuna modifica automatica dei dati).</w:t>
      </w:r>
    </w:p>
    <w:p>
      <w:pPr>
        <w:pStyle w:val="ListParagraph"/>
        <w:numPr>
          <w:ilvl w:val="0"/>
          <w:numId w:val="3"/>
        </w:numPr>
        <w:spacing w:after="70" w:line="290"/>
      </w:pPr>
      <w:r>
        <w:rPr>
          <w:rFonts w:ascii="Arial" w:cs="Arial" w:eastAsia="Arial" w:hAnsi="Arial"/>
          <w:b/>
          <w:bCs/>
          <w:color w:val="1B2118"/>
          <w:sz w:val="21"/>
          <w:szCs w:val="21"/>
        </w:rPr>
        <w:t xml:space="preserve">Revisione generale dei documenti</w:t>
      </w:r>
      <w:r>
        <w:rPr>
          <w:rFonts w:ascii="Arial" w:cs="Arial" w:eastAsia="Arial" w:hAnsi="Arial"/>
          <w:color w:val="1B2118"/>
          <w:sz w:val="21"/>
          <w:szCs w:val="21"/>
        </w:rPr>
        <w:t xml:space="preserve"> (richiesta di Luca delle 10:45): intestazione del Registro, dati personali, «Da fare subito» (script 34 verificato non eseguito in produzione), struttura del codice, tabelle, manuali; nuova slide «Novità del 22 e 23 ottobre» nella presentazione.</w:t>
      </w:r>
    </w:p>
    <w:p>
      <w:pPr>
        <w:pStyle w:val="ListParagraph"/>
        <w:numPr>
          <w:ilvl w:val="0"/>
          <w:numId w:val="3"/>
        </w:numPr>
        <w:spacing w:after="70" w:line="290"/>
      </w:pPr>
      <w:r>
        <w:rPr>
          <w:rFonts w:ascii="Arial" w:cs="Arial" w:eastAsia="Arial" w:hAnsi="Arial"/>
          <w:b/>
          <w:bCs/>
          <w:color w:val="1B2118"/>
          <w:sz w:val="21"/>
          <w:szCs w:val="21"/>
        </w:rPr>
        <w:t xml:space="preserve">Dashboard: valore complessivo dei crediti</w:t>
      </w:r>
      <w:r>
        <w:rPr>
          <w:rFonts w:ascii="Arial" w:cs="Arial" w:eastAsia="Arial" w:hAnsi="Arial"/>
          <w:color w:val="1B2118"/>
          <w:sz w:val="21"/>
          <w:szCs w:val="21"/>
        </w:rPr>
        <w:t xml:space="preserve"> (richiesta di Luca delle 10:21: crediti in simulazione e in fase esecutiva; Amministratori tutto, utenti solo i loro; unità scelta da Luca: crediti ed euro; per le altre scelte nessuna preferenza, adottate le proposte). Ramo </w:t>
      </w:r>
      <w:r>
        <w:rPr>
          <w:rFonts w:ascii="Consolas" w:cs="Consolas" w:eastAsia="Consolas" w:hAnsi="Consolas"/>
          <w:color w:val="2F5D3A"/>
          <w:sz w:val="21"/>
          <w:szCs w:val="21"/>
        </w:rPr>
        <w:t xml:space="preserve">valore-crediti-dashboard</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42_valore_crediti.sql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t42.sql</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ricavi_totali</w:t>
      </w:r>
      <w:r>
        <w:rPr>
          <w:rFonts w:ascii="Arial" w:cs="Arial" w:eastAsia="Arial" w:hAnsi="Arial"/>
          <w:color w:val="1B2118"/>
          <w:sz w:val="20"/>
          <w:szCs w:val="20"/>
        </w:rPr>
        <w:t xml:space="preserve"> degli scenari, prezzo di riferimento (32 €), </w:t>
      </w:r>
      <w:r>
        <w:rPr>
          <w:rFonts w:ascii="Consolas" w:cs="Consolas" w:eastAsia="Consolas" w:hAnsi="Consolas"/>
          <w:color w:val="2F5D3A"/>
          <w:sz w:val="20"/>
          <w:szCs w:val="20"/>
        </w:rPr>
        <w:t xml:space="preserve">cruscotto_valore_crediti</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Simulazione: l'ultimo scenario aggiornato per ogni Comune, crediti netti del periodo, euro = ricavi dello scenario (o crediti × prezzo di riferimento per gli scenari salvati prima o senza valore del credito, contati a parte). Fase esecutiva: calcoli ex post confermati e validi, lotti emessi, vendite con il valore comunicato.</w:t>
      </w:r>
    </w:p>
    <w:p>
      <w:pPr>
        <w:pStyle w:val="ListParagraph"/>
        <w:numPr>
          <w:ilvl w:val="1"/>
          <w:numId w:val="3"/>
        </w:numPr>
        <w:spacing w:after="70" w:line="290"/>
      </w:pPr>
      <w:r>
        <w:rPr>
          <w:rFonts w:ascii="Arial" w:cs="Arial" w:eastAsia="Arial" w:hAnsi="Arial"/>
          <w:color w:val="1B2118"/>
          <w:sz w:val="20"/>
          <w:szCs w:val="20"/>
        </w:rPr>
        <w:t xml:space="preserve">Componente </w:t>
      </w:r>
      <w:r>
        <w:rPr>
          <w:rFonts w:ascii="Consolas" w:cs="Consolas" w:eastAsia="Consolas" w:hAnsi="Consolas"/>
          <w:color w:val="2F5D3A"/>
          <w:sz w:val="20"/>
          <w:szCs w:val="20"/>
        </w:rPr>
        <w:t xml:space="preserve">ValoreCrediti.jsx</w:t>
      </w:r>
      <w:r>
        <w:rPr>
          <w:rFonts w:ascii="Arial" w:cs="Arial" w:eastAsia="Arial" w:hAnsi="Arial"/>
          <w:color w:val="1B2118"/>
          <w:sz w:val="20"/>
          <w:szCs w:val="20"/>
        </w:rPr>
        <w:t xml:space="preserve"> nella Dashboard (staff) e in «Le mie pratiche» (Comuni, solo i propri dati); </w:t>
      </w:r>
      <w:r>
        <w:rPr>
          <w:rFonts w:ascii="Consolas" w:cs="Consolas" w:eastAsia="Consolas" w:hAnsi="Consolas"/>
          <w:color w:val="2F5D3A"/>
          <w:sz w:val="20"/>
          <w:szCs w:val="20"/>
        </w:rPr>
        <w:t xml:space="preserve">PrezzoRiferimento.jsx</w:t>
      </w:r>
      <w:r>
        <w:rPr>
          <w:rFonts w:ascii="Arial" w:cs="Arial" w:eastAsia="Arial" w:hAnsi="Arial"/>
          <w:color w:val="1B2118"/>
          <w:sz w:val="20"/>
          <w:szCs w:val="20"/>
        </w:rPr>
        <w:t xml:space="preserve"> in Impostazioni; il Simulatore salva i ricavi del periodo.</w:t>
      </w:r>
    </w:p>
    <w:p>
      <w:pPr>
        <w:pStyle w:val="ListParagraph"/>
        <w:numPr>
          <w:ilvl w:val="1"/>
          <w:numId w:val="3"/>
        </w:numPr>
        <w:spacing w:after="70" w:line="290"/>
      </w:pPr>
      <w:r>
        <w:rPr>
          <w:rFonts w:ascii="Arial" w:cs="Arial" w:eastAsia="Arial" w:hAnsi="Arial"/>
          <w:color w:val="1B2118"/>
          <w:sz w:val="20"/>
          <w:szCs w:val="20"/>
        </w:rPr>
        <w:t xml:space="preserve">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11:10-11:20: script 42 eseguito («colonna 1, prezzo 32, funzioni 2»), main pubblicato (</w:t>
      </w:r>
      <w:r>
        <w:rPr>
          <w:rFonts w:ascii="Consolas" w:cs="Consolas" w:eastAsia="Consolas" w:hAnsi="Consolas"/>
          <w:color w:val="2F5D3A"/>
          <w:sz w:val="20"/>
          <w:szCs w:val="20"/>
        </w:rPr>
        <w:t xml:space="preserve">2b4aa35</w:t>
      </w:r>
      <w:r>
        <w:rPr>
          <w:rFonts w:ascii="Arial" w:cs="Arial" w:eastAsia="Arial" w:hAnsi="Arial"/>
          <w:color w:val="1B2118"/>
          <w:sz w:val="20"/>
          <w:szCs w:val="20"/>
        </w:rPr>
        <w:t xml:space="preserve">). Dashboard dal vivo: in simulazione 3 Comuni, 11.245,8 crediti, € 359.866 (tutti e 3 gli scenari valorizzati a 32 €, perché salvati prima di oggi); in fase esecutiva nessun calcolo ex post confermato valido, nessun lotto.</w:t>
      </w:r>
    </w:p>
    <w:p>
      <w:pPr>
        <w:pStyle w:val="ListParagraph"/>
        <w:numPr>
          <w:ilvl w:val="0"/>
          <w:numId w:val="3"/>
        </w:numPr>
        <w:spacing w:after="70" w:line="290"/>
      </w:pPr>
      <w:r>
        <w:rPr>
          <w:rFonts w:ascii="Arial" w:cs="Arial" w:eastAsia="Arial" w:hAnsi="Arial"/>
          <w:b/>
          <w:bCs/>
          <w:color w:val="1B2118"/>
          <w:sz w:val="21"/>
          <w:szCs w:val="21"/>
        </w:rPr>
        <w:t xml:space="preserve">Utenze del passo 5a nel motore di calcolo</w:t>
      </w:r>
      <w:r>
        <w:rPr>
          <w:rFonts w:ascii="Arial" w:cs="Arial" w:eastAsia="Arial" w:hAnsi="Arial"/>
          <w:color w:val="1B2118"/>
          <w:sz w:val="21"/>
          <w:szCs w:val="21"/>
        </w:rPr>
        <w:t xml:space="preserve"> (richiesta di Luca delle 9:39, «procediamo»). Ramo </w:t>
      </w:r>
      <w:r>
        <w:rPr>
          <w:rFonts w:ascii="Consolas" w:cs="Consolas" w:eastAsia="Consolas" w:hAnsi="Consolas"/>
          <w:color w:val="2F5D3A"/>
          <w:sz w:val="21"/>
          <w:szCs w:val="21"/>
        </w:rPr>
        <w:t xml:space="preserve">utenze-nel-calcolo</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calcolo.js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utenzeInConferimenti</w:t>
      </w:r>
      <w:r>
        <w:rPr>
          <w:rFonts w:ascii="Arial" w:cs="Arial" w:eastAsia="Arial" w:hAnsi="Arial"/>
          <w:color w:val="1B2118"/>
          <w:sz w:val="20"/>
          <w:szCs w:val="20"/>
        </w:rPr>
        <w:t xml:space="preserve"> (una riga per frazione con i kg misurati; classe = categoria di simulazione); </w:t>
      </w:r>
      <w:r>
        <w:rPr>
          <w:rFonts w:ascii="Consolas" w:cs="Consolas" w:eastAsia="Consolas" w:hAnsi="Consolas"/>
          <w:color w:val="2F5D3A"/>
          <w:sz w:val="20"/>
          <w:szCs w:val="20"/>
        </w:rPr>
        <w:t xml:space="preserve">calcolaCrediti</w:t>
      </w:r>
      <w:r>
        <w:rPr>
          <w:rFonts w:ascii="Arial" w:cs="Arial" w:eastAsia="Arial" w:hAnsi="Arial"/>
          <w:color w:val="1B2118"/>
          <w:sz w:val="20"/>
          <w:szCs w:val="20"/>
        </w:rPr>
        <w:t xml:space="preserve"> usa le utenze se ci sono (</w:t>
      </w:r>
      <w:r>
        <w:rPr>
          <w:rFonts w:ascii="Consolas" w:cs="Consolas" w:eastAsia="Consolas" w:hAnsi="Consolas"/>
          <w:color w:val="2F5D3A"/>
          <w:sz w:val="20"/>
          <w:szCs w:val="20"/>
        </w:rPr>
        <w:t xml:space="preserve">dati.utenze</w:t>
      </w:r>
      <w:r>
        <w:rPr>
          <w:rFonts w:ascii="Arial" w:cs="Arial" w:eastAsia="Arial" w:hAnsi="Arial"/>
          <w:color w:val="1B2118"/>
          <w:sz w:val="20"/>
          <w:szCs w:val="20"/>
        </w:rPr>
        <w:t xml:space="preserve">), altrimenti i conferimenti del 5b; kg misurati sommati in </w:t>
      </w:r>
      <w:r>
        <w:rPr>
          <w:rFonts w:ascii="Consolas" w:cs="Consolas" w:eastAsia="Consolas" w:hAnsi="Consolas"/>
          <w:color w:val="2F5D3A"/>
          <w:sz w:val="20"/>
          <w:szCs w:val="20"/>
        </w:rPr>
        <w:t xml:space="preserve">conferimentiInPeso</w:t>
      </w:r>
      <w:r>
        <w:rPr>
          <w:rFonts w:ascii="Arial" w:cs="Arial" w:eastAsia="Arial" w:hAnsi="Arial"/>
          <w:color w:val="1B2118"/>
          <w:sz w:val="20"/>
          <w:szCs w:val="20"/>
        </w:rPr>
        <w:t xml:space="preserve">; EA(i) ed EP(i) sulle sole frazioni indicate per l'utenza; utenze senza categoria o con categoria fuori delibera escluse con avviso; nel risultato </w:t>
      </w:r>
      <w:r>
        <w:rPr>
          <w:rFonts w:ascii="Consolas" w:cs="Consolas" w:eastAsia="Consolas" w:hAnsi="Consolas"/>
          <w:color w:val="2F5D3A"/>
          <w:sz w:val="20"/>
          <w:szCs w:val="20"/>
        </w:rPr>
        <w:t xml:space="preserve">fonte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utenze.escluse</w:t>
      </w:r>
      <w:r>
        <w:rPr>
          <w:rFonts w:ascii="Arial" w:cs="Arial" w:eastAsia="Arial" w:hAnsi="Arial"/>
          <w:color w:val="1B2118"/>
          <w:sz w:val="20"/>
          <w:szCs w:val="20"/>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w:t>
      </w:r>
      <w:r>
        <w:rPr>
          <w:rFonts w:ascii="Consolas" w:cs="Consolas" w:eastAsia="Consolas" w:hAnsi="Consolas"/>
          <w:color w:val="2F5D3A"/>
          <w:sz w:val="20"/>
          <w:szCs w:val="20"/>
        </w:rPr>
        <w:t xml:space="preserve">controllaCoerenza</w:t>
      </w:r>
      <w:r>
        <w:rPr>
          <w:rFonts w:ascii="Arial" w:cs="Arial" w:eastAsia="Arial" w:hAnsi="Arial"/>
          <w:color w:val="1B2118"/>
          <w:sz w:val="20"/>
          <w:szCs w:val="20"/>
        </w:rPr>
        <w:t xml:space="preserve"> con </w:t>
      </w:r>
      <w:r>
        <w:rPr>
          <w:rFonts w:ascii="Consolas" w:cs="Consolas" w:eastAsia="Consolas" w:hAnsi="Consolas"/>
          <w:color w:val="2F5D3A"/>
          <w:sz w:val="20"/>
          <w:szCs w:val="20"/>
        </w:rPr>
        <w:t xml:space="preserve">origine</w:t>
      </w:r>
      <w:r>
        <w:rPr>
          <w:rFonts w:ascii="Arial" w:cs="Arial" w:eastAsia="Arial" w:hAnsi="Arial"/>
          <w:color w:val="1B2118"/>
          <w:sz w:val="20"/>
          <w:szCs w:val="20"/>
        </w:rPr>
        <w:t xml:space="preserve"> «utenze» (errori per categoria mancante o fuori delibera; i kg a 0 non sono righe vuote).</w:t>
      </w:r>
    </w:p>
    <w:p>
      <w:pPr>
        <w:pStyle w:val="ListParagraph"/>
        <w:numPr>
          <w:ilvl w:val="1"/>
          <w:numId w:val="3"/>
        </w:numPr>
        <w:spacing w:after="70" w:line="290"/>
      </w:pPr>
      <w:r>
        <w:rPr>
          <w:rFonts w:ascii="Arial" w:cs="Arial" w:eastAsia="Arial" w:hAnsi="Arial"/>
          <w:color w:val="1B2118"/>
          <w:sz w:val="20"/>
          <w:szCs w:val="20"/>
        </w:rPr>
        <w:t xml:space="preserve">Pagina: lettura delle utenze senza nomi (</w:t>
      </w:r>
      <w:r>
        <w:rPr>
          <w:rFonts w:ascii="Consolas" w:cs="Consolas" w:eastAsia="Consolas" w:hAnsi="Consolas"/>
          <w:color w:val="2F5D3A"/>
          <w:sz w:val="20"/>
          <w:szCs w:val="20"/>
        </w:rPr>
        <w:t xml:space="preserve">leggiUtenzeCalcolo</w:t>
      </w:r>
      <w:r>
        <w:rPr>
          <w:rFonts w:ascii="Arial" w:cs="Arial" w:eastAsia="Arial" w:hAnsi="Arial"/>
          <w:color w:val="1B2118"/>
          <w:sz w:val="20"/>
          <w:szCs w:val="20"/>
        </w:rPr>
        <w:t xml:space="preserve">, a blocchi di 5.000), controlli di coerenza anche nel passo 5a, riquadro nel 5b, riga «Banca Dati Utenze» nei Risultati, voci nel CSV di riepilogo e paragrafo nel rapporto PDF; </w:t>
      </w:r>
      <w:r>
        <w:rPr>
          <w:rFonts w:ascii="Consolas" w:cs="Consolas" w:eastAsia="Consolas" w:hAnsi="Consolas"/>
          <w:color w:val="2F5D3A"/>
          <w:sz w:val="20"/>
          <w:szCs w:val="20"/>
        </w:rPr>
        <w:t xml:space="preserve">righe.utenze</w:t>
      </w:r>
      <w:r>
        <w:rPr>
          <w:rFonts w:ascii="Arial" w:cs="Arial" w:eastAsia="Arial" w:hAnsi="Arial"/>
          <w:color w:val="1B2118"/>
          <w:sz w:val="20"/>
          <w:szCs w:val="20"/>
        </w:rPr>
        <w:t xml:space="preserve"> nel risultato salvato.</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41_utenze_nel_calcolo.sql</w:t>
      </w:r>
      <w:r>
        <w:rPr>
          <w:rFonts w:ascii="Arial" w:cs="Arial" w:eastAsia="Arial" w:hAnsi="Arial"/>
          <w:color w:val="1B2118"/>
          <w:sz w:val="20"/>
          <w:szCs w:val="20"/>
        </w:rPr>
        <w:t xml:space="preserve"> (prova </w:t>
      </w:r>
      <w:r>
        <w:rPr>
          <w:rFonts w:ascii="Consolas" w:cs="Consolas" w:eastAsia="Consolas" w:hAnsi="Consolas"/>
          <w:color w:val="2F5D3A"/>
          <w:sz w:val="20"/>
          <w:szCs w:val="20"/>
        </w:rPr>
        <w:t xml:space="preserve">t41.sql</w:t>
      </w:r>
      <w:r>
        <w:rPr>
          <w:rFonts w:ascii="Arial" w:cs="Arial" w:eastAsia="Arial" w:hAnsi="Arial"/>
          <w:color w:val="1B2118"/>
          <w:sz w:val="20"/>
          <w:szCs w:val="20"/>
        </w:rPr>
        <w:t xml:space="preserve">, 9 casi).</w:t>
      </w:r>
    </w:p>
    <w:p>
      <w:pPr>
        <w:pStyle w:val="ListParagraph"/>
        <w:numPr>
          <w:ilvl w:val="1"/>
          <w:numId w:val="3"/>
        </w:numPr>
        <w:spacing w:after="70" w:line="290"/>
      </w:pPr>
      <w:r>
        <w:rPr>
          <w:rFonts w:ascii="Arial" w:cs="Arial" w:eastAsia="Arial" w:hAnsi="Arial"/>
          <w:color w:val="1B2118"/>
          <w:sz w:val="20"/>
          <w:szCs w:val="20"/>
        </w:rPr>
        <w:t xml:space="preserve">Prove </w:t>
      </w:r>
      <w:r>
        <w:rPr>
          <w:rFonts w:ascii="Consolas" w:cs="Consolas" w:eastAsia="Consolas" w:hAnsi="Consolas"/>
          <w:color w:val="2F5D3A"/>
          <w:sz w:val="20"/>
          <w:szCs w:val="20"/>
        </w:rPr>
        <w:t xml:space="preserve">test/utenzeNelCalcolo.test.mjs</w:t>
      </w:r>
      <w:r>
        <w:rPr>
          <w:rFonts w:ascii="Arial" w:cs="Arial" w:eastAsia="Arial" w:hAnsi="Arial"/>
          <w:color w:val="1B2118"/>
          <w:sz w:val="20"/>
          <w:szCs w:val="20"/>
        </w:rPr>
        <w:t xml:space="preserve"> (7); 18 serie superate.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10:14-10:20 (OK di Luca delle 10:13): script 41 eseguito nel SQL Editor («Success»), main pubblicato (</w:t>
      </w:r>
      <w:r>
        <w:rPr>
          <w:rFonts w:ascii="Consolas" w:cs="Consolas" w:eastAsia="Consolas" w:hAnsi="Consolas"/>
          <w:color w:val="2F5D3A"/>
          <w:sz w:val="20"/>
          <w:szCs w:val="20"/>
        </w:rPr>
        <w:t xml:space="preserve">cc28542</w:t>
      </w:r>
      <w:r>
        <w:rPr>
          <w:rFonts w:ascii="Arial" w:cs="Arial" w:eastAsia="Arial" w:hAnsi="Arial"/>
          <w:color w:val="1B2118"/>
          <w:sz w:val="20"/>
          <w:szCs w:val="20"/>
        </w:rPr>
        <w:t xml:space="preserve">). «Calcola» sul calcolo di prova (non confermato): letture delle 40 utenze riuscita; tutte escluse perché il calcolo di prova non ha ancora rifiuti del territorio né delibera (3 senza categoria, 37 con categoria fuori delibera), come previsto dai controlli.</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Banca Dati Utenze per utenza (prima parte)</w:t>
      </w:r>
      <w:r>
        <w:rPr>
          <w:rFonts w:ascii="Arial" w:cs="Arial" w:eastAsia="Arial" w:hAnsi="Arial"/>
          <w:color w:val="1B2118"/>
          <w:sz w:val="21"/>
          <w:szCs w:val="21"/>
        </w:rPr>
        <w:t xml:space="preserve">, richiesta di Luca delle 15:06 e 16:21-16:22: ogni calcolo carica obbligatoriamente l'elenco completo delle utenze dell'anno (domestiche e non domestiche); nome e indirizzo salvati e visibili allo staff. Ramo </w:t>
      </w:r>
      <w:r>
        <w:rPr>
          <w:rFonts w:ascii="Consolas" w:cs="Consolas" w:eastAsia="Consolas" w:hAnsi="Consolas"/>
          <w:color w:val="2F5D3A"/>
          <w:sz w:val="21"/>
          <w:szCs w:val="21"/>
        </w:rPr>
        <w:t xml:space="preserve">banca-dati-utenze</w:t>
      </w:r>
      <w:r>
        <w:rPr>
          <w:rFonts w:ascii="Arial" w:cs="Arial" w:eastAsia="Arial" w:hAnsi="Arial"/>
          <w:color w:val="1B2118"/>
          <w:sz w:val="21"/>
          <w:szCs w:val="21"/>
        </w:rPr>
        <w:t xml:space="preserve">.</w:t>
      </w:r>
    </w:p>
    <w:p>
      <w:pPr>
        <w:pStyle w:val="ListParagraph"/>
        <w:numPr>
          <w:ilvl w:val="1"/>
          <w:numId w:val="3"/>
        </w:numPr>
        <w:spacing w:after="70" w:line="290"/>
      </w:pPr>
      <w:r>
        <w:rPr>
          <w:rFonts w:ascii="Arial" w:cs="Arial" w:eastAsia="Arial" w:hAnsi="Arial"/>
          <w:color w:val="1B2118"/>
          <w:sz w:val="20"/>
          <w:szCs w:val="20"/>
        </w:rPr>
        <w:t xml:space="preserve">Script </w:t>
      </w:r>
      <w:r>
        <w:rPr>
          <w:rFonts w:ascii="Consolas" w:cs="Consolas" w:eastAsia="Consolas" w:hAnsi="Consolas"/>
          <w:color w:val="2F5D3A"/>
          <w:sz w:val="20"/>
          <w:szCs w:val="20"/>
        </w:rPr>
        <w:t xml:space="preserve">40_utenze_calcolo.sql</w:t>
      </w:r>
      <w:r>
        <w:rPr>
          <w:rFonts w:ascii="Arial" w:cs="Arial" w:eastAsia="Arial" w:hAnsi="Arial"/>
          <w:color w:val="1B2118"/>
          <w:sz w:val="20"/>
          <w:szCs w:val="20"/>
        </w:rPr>
        <w:t xml:space="preserve">, provato con </w:t>
      </w:r>
      <w:r>
        <w:rPr>
          <w:rFonts w:ascii="Consolas" w:cs="Consolas" w:eastAsia="Consolas" w:hAnsi="Consolas"/>
          <w:color w:val="2F5D3A"/>
          <w:sz w:val="20"/>
          <w:szCs w:val="20"/>
        </w:rPr>
        <w:t xml:space="preserve">t40.sql</w:t>
      </w:r>
      <w:r>
        <w:rPr>
          <w:rFonts w:ascii="Arial" w:cs="Arial" w:eastAsia="Arial" w:hAnsi="Arial"/>
          <w:color w:val="1B2118"/>
          <w:sz w:val="20"/>
          <w:szCs w:val="20"/>
        </w:rPr>
        <w:t xml:space="preserve">, eseguito in produzione alle 17:30; portale pubblicato con il passo 5a.</w:t>
      </w:r>
    </w:p>
    <w:p>
      <w:pPr>
        <w:pStyle w:val="ListParagraph"/>
        <w:numPr>
          <w:ilvl w:val="1"/>
          <w:numId w:val="3"/>
        </w:numPr>
        <w:spacing w:after="70" w:line="290"/>
      </w:pPr>
      <w:r>
        <w:rPr>
          <w:rFonts w:ascii="Arial" w:cs="Arial" w:eastAsia="Arial" w:hAnsi="Arial"/>
          <w:color w:val="1B2118"/>
          <w:sz w:val="20"/>
          <w:szCs w:val="20"/>
        </w:rPr>
        <w:t xml:space="preserve">Modello </w:t>
      </w:r>
      <w:r>
        <w:rPr>
          <w:rFonts w:ascii="Consolas" w:cs="Consolas" w:eastAsia="Consolas" w:hAnsi="Consolas"/>
          <w:color w:val="2F5D3A"/>
          <w:sz w:val="20"/>
          <w:szCs w:val="20"/>
        </w:rPr>
        <w:t xml:space="preserve">public/modelli/Banca_dati_utenze_CWP_v1.xlsx</w:t>
      </w:r>
      <w:r>
        <w:rPr>
          <w:rFonts w:ascii="Arial" w:cs="Arial" w:eastAsia="Arial" w:hAnsi="Arial"/>
          <w:color w:val="1B2118"/>
          <w:sz w:val="20"/>
          <w:szCs w:val="20"/>
        </w:rPr>
        <w:t xml:space="preserve"> (generato da </w:t>
      </w:r>
      <w:r>
        <w:rPr>
          <w:rFonts w:ascii="Consolas" w:cs="Consolas" w:eastAsia="Consolas" w:hAnsi="Consolas"/>
          <w:color w:val="2F5D3A"/>
          <w:sz w:val="20"/>
          <w:szCs w:val="20"/>
        </w:rPr>
        <w:t xml:space="preserve">strumenti/genera_banca_dati_utenze.py</w:t>
      </w:r>
      <w:r>
        <w:rPr>
          <w:rFonts w:ascii="Arial" w:cs="Arial" w:eastAsia="Arial" w:hAnsi="Arial"/>
          <w:color w:val="1B2118"/>
          <w:sz w:val="20"/>
          <w:szCs w:val="20"/>
        </w:rPr>
        <w:t xml:space="preserve">): Istruzioni con la spiegazione di ogni colonna, Utenze_domestiche e Utenze_non_domestiche (30 colonne: anagrafica, produzione totale, 12 frazioni in kg, 12 svuotamenti), Categorie DPR 158/1999 di riferimento.</w:t>
      </w:r>
    </w:p>
    <w:p>
      <w:pPr>
        <w:pStyle w:val="ListParagraph"/>
        <w:numPr>
          <w:ilvl w:val="1"/>
          <w:numId w:val="3"/>
        </w:numPr>
        <w:spacing w:after="70" w:line="290"/>
      </w:pPr>
      <w:r>
        <w:rPr>
          <w:rFonts w:ascii="Arial" w:cs="Arial" w:eastAsia="Arial" w:hAnsi="Arial"/>
          <w:color w:val="1B2118"/>
          <w:sz w:val="20"/>
          <w:szCs w:val="20"/>
        </w:rPr>
        <w:t xml:space="preserve">Documenti: spiegazione dei campi in crediti-cwp.md, manuale amministratore e manuale utente.</w:t>
      </w:r>
    </w:p>
    <w:p>
      <w:pPr>
        <w:pStyle w:val="ListParagraph"/>
        <w:numPr>
          <w:ilvl w:val="1"/>
          <w:numId w:val="3"/>
        </w:numPr>
        <w:spacing w:after="70" w:line="290"/>
      </w:pPr>
      <w:r>
        <w:rPr>
          <w:rFonts w:ascii="Arial" w:cs="Arial" w:eastAsia="Arial" w:hAnsi="Arial"/>
          <w:color w:val="1B2118"/>
          <w:sz w:val="20"/>
          <w:szCs w:val="20"/>
        </w:rPr>
        <w:t xml:space="preserve">Seconda parte (richiesta delle 16:58): categoria tariffaria (nel file, anche per le domestiche) e categoria di simulazione (proposta uguale); passo «5a. Utenze del calcolo» (</w:t>
      </w:r>
      <w:r>
        <w:rPr>
          <w:rFonts w:ascii="Consolas" w:cs="Consolas" w:eastAsia="Consolas" w:hAnsi="Consolas"/>
          <w:color w:val="2F5D3A"/>
          <w:sz w:val="20"/>
          <w:szCs w:val="20"/>
        </w:rPr>
        <w:t xml:space="preserve">UtenzeCalcolo.jsx</w:t>
      </w:r>
      <w:r>
        <w:rPr>
          <w:rFonts w:ascii="Arial" w:cs="Arial" w:eastAsia="Arial" w:hAnsi="Arial"/>
          <w:color w:val="1B2118"/>
          <w:sz w:val="20"/>
          <w:szCs w:val="20"/>
        </w:rPr>
        <w:t xml:space="preserve">) con riquadri, caricamento del file con anteprima, schede domestiche e non domestiche, ricerca, pagine e modulo di ogni utenza; </w:t>
      </w:r>
      <w:r>
        <w:rPr>
          <w:rFonts w:ascii="Consolas" w:cs="Consolas" w:eastAsia="Consolas" w:hAnsi="Consolas"/>
          <w:color w:val="2F5D3A"/>
          <w:sz w:val="20"/>
          <w:szCs w:val="20"/>
        </w:rPr>
        <w:t xml:space="preserve">bancaDatiUtenze.js</w:t>
      </w:r>
      <w:r>
        <w:rPr>
          <w:rFonts w:ascii="Arial" w:cs="Arial" w:eastAsia="Arial" w:hAnsi="Arial"/>
          <w:color w:val="1B2118"/>
          <w:sz w:val="20"/>
          <w:szCs w:val="20"/>
        </w:rPr>
        <w:t xml:space="preserve"> (lettura e controlli, </w:t>
      </w:r>
      <w:r>
        <w:rPr>
          <w:rFonts w:ascii="Consolas" w:cs="Consolas" w:eastAsia="Consolas" w:hAnsi="Consolas"/>
          <w:color w:val="2F5D3A"/>
          <w:sz w:val="20"/>
          <w:szCs w:val="20"/>
        </w:rPr>
        <w:t xml:space="preserve">test/bancaDatiUtenze.test.mjs</w:t>
      </w:r>
      <w:r>
        <w:rPr>
          <w:rFonts w:ascii="Arial" w:cs="Arial" w:eastAsia="Arial" w:hAnsi="Arial"/>
          <w:color w:val="1B2118"/>
          <w:sz w:val="20"/>
          <w:szCs w:val="20"/>
        </w:rPr>
        <w:t xml:space="preserve">, 5 prove), </w:t>
      </w:r>
      <w:r>
        <w:rPr>
          <w:rFonts w:ascii="Consolas" w:cs="Consolas" w:eastAsia="Consolas" w:hAnsi="Consolas"/>
          <w:color w:val="2F5D3A"/>
          <w:sz w:val="20"/>
          <w:szCs w:val="20"/>
        </w:rPr>
        <w:t xml:space="preserve">utenzeCalcolo.js</w:t>
      </w:r>
      <w:r>
        <w:rPr>
          <w:rFonts w:ascii="Arial" w:cs="Arial" w:eastAsia="Arial" w:hAnsi="Arial"/>
          <w:color w:val="1B2118"/>
          <w:sz w:val="20"/>
          <w:szCs w:val="20"/>
        </w:rPr>
        <w:t xml:space="preserve"> (database); </w:t>
      </w:r>
      <w:r>
        <w:rPr>
          <w:rFonts w:ascii="Consolas" w:cs="Consolas" w:eastAsia="Consolas" w:hAnsi="Consolas"/>
          <w:color w:val="2F5D3A"/>
          <w:sz w:val="20"/>
          <w:szCs w:val="20"/>
        </w:rPr>
        <w:t xml:space="preserve">leggiFileFogli</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tracciato.js</w:t>
      </w:r>
      <w:r>
        <w:rPr>
          <w:rFonts w:ascii="Arial" w:cs="Arial" w:eastAsia="Arial" w:hAnsi="Arial"/>
          <w:color w:val="1B2118"/>
          <w:sz w:val="20"/>
          <w:szCs w:val="20"/>
        </w:rPr>
        <w:t xml:space="preserve">; file di prova con 20 + 20 utenze inventate (</w:t>
      </w:r>
      <w:r>
        <w:rPr>
          <w:rFonts w:ascii="Consolas" w:cs="Consolas" w:eastAsia="Consolas" w:hAnsi="Consolas"/>
          <w:color w:val="2F5D3A"/>
          <w:sz w:val="20"/>
          <w:szCs w:val="20"/>
        </w:rPr>
        <w:t xml:space="preserve">strumenti/genera_utenze_casuali.py</w:t>
      </w:r>
      <w:r>
        <w:rPr>
          <w:rFonts w:ascii="Arial" w:cs="Arial" w:eastAsia="Arial" w:hAnsi="Arial"/>
          <w:color w:val="1B2118"/>
          <w:sz w:val="20"/>
          <w:szCs w:val="20"/>
        </w:rPr>
        <w:t xml:space="preserve">). Verificato a schermo su computer e telefono con dati finti.</w:t>
      </w:r>
    </w:p>
    <w:p>
      <w:pPr>
        <w:pStyle w:val="ListParagraph"/>
        <w:numPr>
          <w:ilvl w:val="1"/>
          <w:numId w:val="3"/>
        </w:numPr>
        <w:spacing w:after="70" w:line="290"/>
      </w:pPr>
      <w:r>
        <w:rPr>
          <w:rFonts w:ascii="Arial" w:cs="Arial" w:eastAsia="Arial" w:hAnsi="Arial"/>
          <w:color w:val="1B2118"/>
          <w:sz w:val="20"/>
          <w:szCs w:val="20"/>
        </w:rPr>
        <w:t xml:space="preserve">In produzione alle 17:30-17:45: script 40 eseguito, portale pubblicato; creato il calcolo di prova «PROVA Banca Dati Utenze - dati casuali (non confermare)» su CWP-2026-003 (Comune di del col) e caricato dal portale il file di prova (20 + 20 utenze, 4 senza categoria); provato il modulo su PROVA-UD-008 (categoria tariffaria 2, simulazione proposta 2). Nell'Audit gli eventi delle utenze mostrano codice, numeri e campi cambiati (</w:t>
      </w:r>
      <w:r>
        <w:rPr>
          <w:rFonts w:ascii="Consolas" w:cs="Consolas" w:eastAsia="Consolas" w:hAnsi="Consolas"/>
          <w:color w:val="2F5D3A"/>
          <w:sz w:val="20"/>
          <w:szCs w:val="20"/>
        </w:rPr>
        <w:t xml:space="preserve">riassuntoUtenze</w:t>
      </w:r>
      <w:r>
        <w:rPr>
          <w:rFonts w:ascii="Arial" w:cs="Arial" w:eastAsia="Arial" w:hAnsi="Arial"/>
          <w:color w:val="1B2118"/>
          <w:sz w:val="20"/>
          <w:szCs w:val="20"/>
        </w:rPr>
        <w:t xml:space="preserve"> in </w:t>
      </w:r>
      <w:r>
        <w:rPr>
          <w:rFonts w:ascii="Consolas" w:cs="Consolas" w:eastAsia="Consolas" w:hAnsi="Consolas"/>
          <w:color w:val="2F5D3A"/>
          <w:sz w:val="20"/>
          <w:szCs w:val="20"/>
        </w:rPr>
        <w:t xml:space="preserve">auditDettaglio.js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Collegamento al motore di calcolo: fatto il 23/10/2026 (script 41).</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kyyj9mijd3tci6syppe4">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_l4igbdmsp8nul3waa0q_">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j3oim48xzrynr_4vfudf">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jcbii9u_5_vaelmzpjrws">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23/10/2026)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(in produzione dal 23/10): prima delle campagne reali verificare il dominio email su Resend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e far controllare a un legale le email promozionali agli enti (art. 130 Codice privacy, informativa art. 14 GDPR).</w:t>
      </w:r>
    </w:p>
    <w:p>
      <w:pPr>
        <w:pStyle w:val="ListParagraph"/>
        <w:numPr>
          <w:ilvl w:val="0"/>
          <w:numId w:val="3"/>
        </w:numPr>
        <w:spacing w:after="70" w:line="290"/>
      </w:pPr>
      <w:r>
        <w:rPr>
          <w:rFonts w:ascii="Arial" w:cs="Arial" w:eastAsia="Arial" w:hAnsi="Arial"/>
          <w:b/>
          <w:bCs/>
          <w:color w:val="1B2118"/>
          <w:sz w:val="21"/>
          <w:szCs w:val="21"/>
        </w:rPr>
        <w:t xml:space="preserve">Installare il backup giornaliero dal Mac</w:t>
      </w:r>
      <w:r>
        <w:rPr>
          <w:rFonts w:ascii="Arial" w:cs="Arial" w:eastAsia="Arial" w:hAnsi="Arial"/>
          <w:color w:val="1B2118"/>
          <w:sz w:val="21"/>
          <w:szCs w:val="21"/>
        </w:rPr>
        <w:t xml:space="preserve"> (Google Drive per desktop e installatore </w:t>
      </w:r>
      <w:r>
        <w:rPr>
          <w:rFonts w:ascii="Consolas" w:cs="Consolas" w:eastAsia="Consolas" w:hAnsi="Consolas"/>
          <w:color w:val="2F5D3A"/>
          <w:sz w:val="21"/>
          <w:szCs w:val="21"/>
        </w:rPr>
        <w:t xml:space="preserve">strumenti/backup/installa_backup_mac.sh</w:t>
      </w:r>
      <w:r>
        <w:rPr>
          <w:rFonts w:ascii="Arial" w:cs="Arial" w:eastAsia="Arial" w:hAnsi="Arial"/>
          <w:color w:val="1B2118"/>
          <w:sz w:val="21"/>
          <w:szCs w:val="21"/>
        </w:rPr>
        <w:t xml:space="preserve">, con la chiave service_role inserita da Luca; Istruzioni di ripristino, capitolo «Backup»). Il backup in Google Apps Script è stato tolto (bloccato da Google).</w:t>
      </w:r>
    </w:p>
    <w:p>
      <w:pPr>
        <w:pStyle w:val="ListParagraph"/>
        <w:numPr>
          <w:ilvl w:val="0"/>
          <w:numId w:val="3"/>
        </w:numPr>
        <w:spacing w:after="70" w:line="290"/>
      </w:pPr>
      <w:r>
        <w:rPr>
          <w:rFonts w:ascii="Arial" w:cs="Arial" w:eastAsia="Arial" w:hAnsi="Arial"/>
          <w:strike/>
          <w:color w:val="5A5E54"/>
          <w:sz w:val="21"/>
          <w:szCs w:val="21"/>
        </w:rPr>
        <w:t xml:space="preserve">Eseguire lo script </w:t>
      </w:r>
      <w:r>
        <w:rPr>
          <w:rFonts w:ascii="Consolas" w:cs="Consolas" w:eastAsia="Consolas" w:hAnsi="Consolas"/>
          <w:strike/>
          <w:color w:val="2F5D3A"/>
          <w:sz w:val="21"/>
          <w:szCs w:val="21"/>
        </w:rPr>
        <w:t xml:space="preserve">34_sicurezza_avvisi.sql</w:t>
      </w:r>
      <w:r>
        <w:rPr>
          <w:rFonts w:ascii="Arial" w:cs="Arial" w:eastAsia="Arial" w:hAnsi="Arial"/>
          <w:color w:val="1B2118"/>
          <w:sz w:val="21"/>
          <w:szCs w:val="21"/>
        </w:rPr>
        <w:t xml:space="preserve"> — fatto il 23/10 alle 12:20 su incarico di Luca.</w:t>
      </w:r>
    </w:p>
    <w:p>
      <w:pPr>
        <w:pStyle w:val="ListParagraph"/>
        <w:numPr>
          <w:ilvl w:val="0"/>
          <w:numId w:val="3"/>
        </w:numPr>
        <w:spacing w:after="70" w:line="290"/>
      </w:pPr>
      <w:r>
        <w:rPr>
          <w:rFonts w:ascii="Arial" w:cs="Arial" w:eastAsia="Arial" w:hAnsi="Arial"/>
          <w:color w:val="1B2118"/>
          <w:sz w:val="21"/>
          <w:szCs w:val="21"/>
        </w:rPr>
        <w:t xml:space="preserve">DPIA e accordo sul trattamento (art. 28 GDPR) con i Comuni prima di caricare utenze reali nella Banca Dati Utenze per utenza.</w:t>
      </w:r>
    </w:p>
    <w:p>
      <w:pPr>
        <w:pStyle w:val="ListParagraph"/>
        <w:numPr>
          <w:ilvl w:val="0"/>
          <w:numId w:val="3"/>
        </w:numPr>
        <w:spacing w:after="70" w:line="290"/>
      </w:pPr>
      <w:r>
        <w:rPr>
          <w:rFonts w:ascii="Arial" w:cs="Arial" w:eastAsia="Arial" w:hAnsi="Arial"/>
          <w:color w:val="1B2118"/>
          <w:sz w:val="21"/>
          <w:szCs w:val="21"/>
        </w:rPr>
        <w:t xml:space="preserve">Inoltrare alla Fondazione le domande in ATTESA_REGOLA (R01-R04, R06, riuso, N05, N06, frazioni vuote nel calcolo per utenza) e decidere gli interventi sui dati proposti (fase 5 senza ente, fasi senza scadenza, codici).</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strike/>
          <w:color w:val="5A5E54"/>
          <w:sz w:val="21"/>
          <w:szCs w:val="21"/>
        </w:rPr>
        <w:t xml:space="preserve">Banca Dati Utenze per utenza e collegamento al motore</w:t>
      </w:r>
      <w:r>
        <w:rPr>
          <w:rFonts w:ascii="Arial" w:cs="Arial" w:eastAsia="Arial" w:hAnsi="Arial"/>
          <w:color w:val="1B2118"/>
          <w:sz w:val="21"/>
          <w:szCs w:val="21"/>
        </w:rPr>
        <w:t xml:space="preserve"> — fatti il 22-23/10 (script 40-41); </w:t>
      </w:r>
      <w:r>
        <w:rPr>
          <w:rFonts w:ascii="Arial" w:cs="Arial" w:eastAsia="Arial" w:hAnsi="Arial"/>
          <w:strike/>
          <w:color w:val="5A5E54"/>
          <w:sz w:val="21"/>
          <w:szCs w:val="21"/>
        </w:rPr>
        <w:t xml:space="preserve">valore dei crediti nella Dashboard</w:t>
      </w:r>
      <w:r>
        <w:rPr>
          <w:rFonts w:ascii="Arial" w:cs="Arial" w:eastAsia="Arial" w:hAnsi="Arial"/>
          <w:color w:val="1B2118"/>
          <w:sz w:val="21"/>
          <w:szCs w:val="21"/>
        </w:rPr>
        <w:t xml:space="preserve"> — fatto il 23/10 (script 42).</w:t>
      </w:r>
    </w:p>
    <w:p>
      <w:pPr>
        <w:pStyle w:val="ListParagraph"/>
        <w:numPr>
          <w:ilvl w:val="0"/>
          <w:numId w:val="3"/>
        </w:numPr>
        <w:spacing w:after="70" w:line="290"/>
      </w:pPr>
      <w:r>
        <w:rPr>
          <w:rFonts w:ascii="Arial" w:cs="Arial" w:eastAsia="Arial" w:hAnsi="Arial"/>
          <w:color w:val="1B2118"/>
          <w:sz w:val="21"/>
          <w:szCs w:val="21"/>
        </w:rPr>
        <w:t xml:space="preserve">Sicurezza (punti 14-18 e 30, verifica OWASP in corso)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cruscotto_valore_progetti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per il valore dei progetti (Caso 1 / Caso 2) in Dashboard e Le mie pratiche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staff_aggiorna_dati_pratica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20, 23, 43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del Progetto con le 7 fasi e modifica dei dati, dal 23/10 anche il listino Caso 1 / Caso 2</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cruscotto_valore_crediti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 accesso (staff: tutto; Comuni: i propri)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dei crediti in simulazione e in fase esecutiva, in crediti ed euro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admin_imposta_prezzo_riferimento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Prezzo di riferimento del credito (Impostazioni), con 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cwp_utenze_controllo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interno (trigger della conferma)</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utenze del calcolo, senza categoria di simulazione e con categoria fuori delibera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staff_elenco_utenze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admin_utenze_calcolo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admin_svuota_utenze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 / 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del calcolo: consultazione registrata nell'audit, lettura per il motore senza dati personali, svuotamento prima di un nuovo caricamento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1010"/>
        <w:gridCol w:w="4784"/>
      </w:tblGrid>
      <w:tr>
        <w:trPr>
          <w:tblHeader/>
        </w:trPr>
        <w:tc>
          <w:tcPr>
            <w:tcW w:type="dxa" w:w="38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7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(dal 23/10 con il listino Caso 1 / Caso 2), 7 fasi, durate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del tracciato (passo 5b), numerazione del registro</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Banca Dati Utenze per utenza (passo 5a): una riga per utenza con categorie e kg per frazione; usata dal motore dallo script 41</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28, 42, 43</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 del simulatore (dal 23/10 anche i ricavi del periodo e quanto paga il cliente)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e vendite comunicate dal registro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38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7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38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7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182 file, 43.099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282</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1617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Regioni italiane (nomi ISTAT, come nella banca dati).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5"/>
        <w:gridCol w:w="933"/>
        <w:gridCol w:w="5090"/>
      </w:tblGrid>
      <w:tr>
        <w:trPr>
          <w:tblHeader/>
        </w:trPr>
        <w:tc>
          <w:tcPr>
            <w:tcW w:type="dxa" w:w="36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09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src/components/ValoreCrediti.jsx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mostrare il valore complessivo dei crediti, in crediti (tCO₂eq) e in euro: - in simulazione: per ogni Comune lo scenario del simulatore aggiornato più di recente, su tutto il periodo simulato; euro = ricavi dello scenario (o…</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«5a. Utenze del calcolo» del calcolo dei crediti: gestione della Banca Dati Utenze per utenza (richieste di Luca Moretti del 22/10/2026). Due tabelle, utenze domestiche e non domestiche, ciascuna con ricerca, pagine da 50,…</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src/components/impostazioni/PrezzoRiferimento.jsx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prezzo in euro con cui la Dashboard dà un valore ai crediti calcolati ed emessi (riquadro «Crediti in fase esecutiva») e agli scenari del simulatore salvati senza valore del credito. Iniziale 32 €, come il valore proposto dal…</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src/components/marketing/Campagne.jsx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288</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src/components/marketing/ElencoEnti.jsx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Ricarica a ogni cambio di filtri o pagina (con un piccolo ritardo per il testo).</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src/components/marketing/Importazioni.jsx</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Sezioni regionali dell'Albo (id usati dall'elenco pubblico degli iscritti).</w:t>
            </w:r>
          </w:p>
        </w:tc>
      </w:tr>
      <w:tr>
        <w:trPr>
          <w:cantSplit/>
        </w:trPr>
        <w:tc>
          <w:tcPr>
            <w:tcW w:type="dxa" w:w="36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src/components/marketing/Richieste.jsx</w:t>
            </w:r>
          </w:p>
        </w:tc>
        <w:tc>
          <w:tcPr>
            <w:tcW w:type="dxa" w:w="93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509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6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09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src/lib/crediti/bancaDatiUtenze.js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«Banca dati utenze CWP» (modello public/modelli/Banca_dati_utenze_CWP_v1.xlsx, generato da strumenti/genera_banca_dati_utenze.py), controlla ogni riga e la trasforma nella riga della tabella calcolo_utenza (script…</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src/lib/crediti/utenzeCalcolo.js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a pagine con ricerca, conteggi, modulo di una singola utenza (nuova o modificata), cancellazione e caricamento dell'elenco completo dell'anno (sostituisce quello precedente).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htmlCampagna / testoCampagna: l'email di una campagna (grafica in testa, testo, riquadro «risorse per 7, 10 o 21 anni», pulsante «Approfondisci» verso la landing page, informativa e disiscrizione). La STESSA funzione è copiata…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 i filtri dell'elenco a una lettura di mkt_ente. Filtri: tipo,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1"/>
        <w:gridCol w:w="952"/>
        <w:gridCol w:w="5195"/>
      </w:tblGrid>
      <w:tr>
        <w:trPr>
          <w:tblHeader/>
        </w:trPr>
        <w:tc>
          <w:tcPr>
            <w:tcW w:type="dxa" w:w="3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supabase/40_utenze_calcolo.sql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426</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UTENZE DEL CALCOLO DEI CREDITI (UNA RIGA PER UTENZA)</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supabase/41_utenze_nel_calcolo.sql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 — UTENZE DEL CALCOLO NEL MOTORE: CONTROLLI DI CONFERMA</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supabase/42_valore_crediti.sql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DASHBOARD: VALORE COMPLESSIVO DEI CREDITI</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supabase/43_valore_progetti.sql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 — VALORE DEI PROGETTI: LISTINO CASO 1 / CASO 2</w:t>
            </w:r>
          </w:p>
        </w:tc>
      </w:tr>
      <w:tr>
        <w:trPr>
          <w:cantSplit/>
        </w:trPr>
        <w:tc>
          <w:tcPr>
            <w:tcW w:type="dxa" w:w="3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supabase/44_marketing.sql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 — MARKETING: BANCHE DATI DI COMUNI E GESTORI, CAMPAGNE, RICHIESTE</w:t>
            </w:r>
          </w:p>
        </w:tc>
      </w:tr>
      <w:tr>
        <w:trPr>
          <w:cantSplit/>
        </w:trPr>
        <w:tc>
          <w:tcPr>
            <w:tcW w:type="dxa" w:w="3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96"/>
        <w:gridCol w:w="905"/>
        <w:gridCol w:w="4937"/>
      </w:tblGrid>
      <w:tr>
        <w:trPr>
          <w:tblHeader/>
        </w:trPr>
        <w:tc>
          <w:tcPr>
            <w:tcW w:type="dxa" w:w="37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522</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marketing — funzione del server dello strumento di marketing</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7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7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test/bancaDatiUtenze.test.mjs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con kg di indifferenziato e organico e svuotamenti dell'indifferenziato.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test/utenzeNelCalcolo.test.mjs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Stesso piccolo Comune di crediti.test.mjs.</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test/valoreProgetti.test.mjs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Valore noto del rilievo N01: 16.232,95 €/anno.</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3"/>
        <w:gridCol w:w="943"/>
        <w:gridCol w:w="5142"/>
      </w:tblGrid>
      <w:tr>
        <w:trPr>
          <w:tblHeader/>
        </w:trPr>
        <w:tc>
          <w:tcPr>
            <w:tcW w:type="dxa" w:w="35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strumenti/genera_banca_dati_utenze.py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public/modelli/Banca_dati_utenze_CWP_v1.xlsx, il file che il Comune o il gestore compila OGNI ANNO con l'elenco COMPLETO delle utenze (richiesta di Luca Moretti del 22/10/2026: il calcolo dei crediti è per utenza e le…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strumenti/genera_utenze_casuali.py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riempie il modello public/modelli/Banca_dati_utenze_CWP_v1.xlsx con 20 utenze domestiche e 20 non domestiche inventate (richiesta di Luca</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strumenti/marketing_arricchimento_sql.py</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5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640</w:t>
            </w:r>
          </w:p>
        </w:tc>
        <w:tc>
          <w:tcPr>
            <w:tcW w:type="dxa" w:w="51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1606</w:t>
            </w:r>
          </w:p>
        </w:tc>
        <w:tc>
          <w:tcPr>
            <w:tcW w:type="dxa" w:w="51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9"/>
        <w:gridCol w:w="3480"/>
        <w:gridCol w:w="3479"/>
      </w:tblGrid>
      <w:tr>
        <w:trPr>
          <w:tblHeader/>
        </w:trPr>
        <w:tc>
          <w:tcPr>
            <w:tcW w:type="dxa" w:w="26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4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4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 calcolo (passo 5a), usate dal motore dal 23/10/2026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src/components/crediti/UtenzeCalcolo.jsx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src/lib/crediti/bancaDatiUtenze.js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leggiUtenzeCalcolo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utenzeInConferimenti</w:t>
            </w:r>
            <w:r>
              <w:rPr>
                <w:rFonts w:ascii="Arial" w:cs="Arial" w:eastAsia="Arial" w:hAnsi="Arial"/>
                <w:color w:val="1B2118"/>
                <w:sz w:val="18"/>
                <w:szCs w:val="18"/>
              </w:rPr>
              <w:t xml:space="preserve"> in </w:t>
            </w:r>
            <w:r>
              <w:rPr>
                <w:rFonts w:ascii="Consolas" w:cs="Consolas" w:eastAsia="Consolas" w:hAnsi="Consolas"/>
                <w:color w:val="2F5D3A"/>
                <w:sz w:val="18"/>
                <w:szCs w:val="18"/>
              </w:rPr>
              <w:t xml:space="preserve">calcolo.js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calcolo_utenza</w:t>
            </w:r>
            <w:r>
              <w:rPr>
                <w:rFonts w:ascii="Arial" w:cs="Arial" w:eastAsia="Arial" w:hAnsi="Arial"/>
                <w:color w:val="1B2118"/>
                <w:sz w:val="18"/>
                <w:szCs w:val="18"/>
              </w:rPr>
              <w:t xml:space="preserve"> e funzioni (40); controlli di conferma </w:t>
            </w:r>
            <w:r>
              <w:rPr>
                <w:rFonts w:ascii="Consolas" w:cs="Consolas" w:eastAsia="Consolas" w:hAnsi="Consolas"/>
                <w:color w:val="2F5D3A"/>
                <w:sz w:val="18"/>
                <w:szCs w:val="18"/>
              </w:rPr>
              <w:t xml:space="preserve">cwp_utenze_controllo</w:t>
            </w:r>
            <w:r>
              <w:rPr>
                <w:rFonts w:ascii="Arial" w:cs="Arial" w:eastAsia="Arial" w:hAnsi="Arial"/>
                <w:color w:val="1B2118"/>
                <w:sz w:val="18"/>
                <w:szCs w:val="18"/>
              </w:rPr>
              <w:t xml:space="preserve"> (41)</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6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4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4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6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4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test/bancaDatiUtenze.test.mjs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test/utenzeNelCalcolo.test.mjs</w:t>
            </w:r>
          </w:p>
        </w:tc>
        <w:tc>
          <w:tcPr>
            <w:tcW w:type="dxa" w:w="34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t40.sql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t41.sql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Utenze del passo 5a nel motore (23/10/2026, script 41)</w:t>
      </w:r>
      <w:r>
        <w:rPr>
          <w:rFonts w:ascii="Arial" w:cs="Arial" w:eastAsia="Arial" w:hAnsi="Arial"/>
          <w:color w:val="1B2118"/>
          <w:sz w:val="21"/>
          <w:szCs w:val="21"/>
        </w:rPr>
        <w:t xml:space="preserve">: con utenze nel 5a il motore usa quelle (classe = categoria di simulazione, kg misurati, frazioni contate utenza per utenza) e ignora i conferimenti del 5b (il riuso resta del 5b); senza utenze tutto come prima. Utenze senza categoria o con categoria fuori delibera restano fuori dal calcolo e bloccano la conferma (controlli di coerenza nel browser e </w:t>
      </w:r>
      <w:r>
        <w:rPr>
          <w:rFonts w:ascii="Consolas" w:cs="Consolas" w:eastAsia="Consolas" w:hAnsi="Consolas"/>
          <w:color w:val="2F5D3A"/>
          <w:sz w:val="21"/>
          <w:szCs w:val="21"/>
        </w:rPr>
        <w:t xml:space="preserve">calcolo_prerequisiti_conferma</w:t>
      </w:r>
      <w:r>
        <w:rPr>
          <w:rFonts w:ascii="Arial" w:cs="Arial" w:eastAsia="Arial" w:hAnsi="Arial"/>
          <w:color w:val="1B2118"/>
          <w:sz w:val="21"/>
          <w:szCs w:val="21"/>
        </w:rPr>
        <w:t xml:space="preserve"> nel database). </w:t>
      </w:r>
      <w:r>
        <w:rPr>
          <w:rFonts w:ascii="Consolas" w:cs="Consolas" w:eastAsia="Consolas" w:hAnsi="Consolas"/>
          <w:color w:val="2F5D3A"/>
          <w:sz w:val="21"/>
          <w:szCs w:val="21"/>
        </w:rPr>
        <w:t xml:space="preserve">risultato.righe.utenze</w:t>
      </w:r>
      <w:r>
        <w:rPr>
          <w:rFonts w:ascii="Arial" w:cs="Arial" w:eastAsia="Arial" w:hAnsi="Arial"/>
          <w:color w:val="1B2118"/>
          <w:sz w:val="21"/>
          <w:szCs w:val="21"/>
        </w:rPr>
        <w:t xml:space="preserve"> registra quante utenze ha usato «Calcola» e la conferma la confronta con quelle salvate. Dettagli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Marketing</w:t>
      </w:r>
      <w:bookmarkEnd w:id="1"/>
    </w:p>
    <w:p>
      <w:pPr>
        <w:spacing w:after="140" w:line="300"/>
      </w:pPr>
      <w:r>
        <w:rPr>
          <w:rFonts w:ascii="Arial" w:cs="Arial" w:eastAsia="Arial" w:hAnsi="Arial"/>
          <w:color w:val="1B2118"/>
          <w:sz w:val="21"/>
          <w:szCs w:val="21"/>
        </w:rPr>
        <w:t xml:space="preserve">Sezione </w:t>
      </w:r>
      <w:r>
        <w:rPr>
          <w:rFonts w:ascii="Arial" w:cs="Arial" w:eastAsia="Arial" w:hAnsi="Arial"/>
          <w:b/>
          <w:bCs/>
          <w:color w:val="1B2118"/>
          <w:sz w:val="21"/>
          <w:szCs w:val="21"/>
        </w:rPr>
        <w:t xml:space="preserve">Marketing</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/marketing</w:t>
      </w:r>
      <w:r>
        <w:rPr>
          <w:rFonts w:ascii="Arial" w:cs="Arial" w:eastAsia="Arial" w:hAnsi="Arial"/>
          <w:color w:val="1B2118"/>
          <w:sz w:val="21"/>
          <w:szCs w:val="21"/>
        </w:rPr>
        <w:t xml:space="preserve">, solo Amministratori), richiesta di Luca Moretti del 23/10/2026: banche dati di Comuni e gestori, campagne email e pagina pubblica «Approfondisci» con micro simulazione.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85"/>
        <w:gridCol w:w="4641"/>
        <w:gridCol w:w="3212"/>
      </w:tblGrid>
      <w:tr>
        <w:trPr>
          <w:tblHeader/>
        </w:trPr>
        <w:tc>
          <w:tcPr>
            <w:tcW w:type="dxa" w:w="17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464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 / servizi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 schede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src/pages/Marketing.jsx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src/components/marketing/{ElencoEnti,Campagne,Richieste,Importazioni}.jsx</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mkt_*</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src/lib/marketingDati.js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admin_mkt_prepara_invii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admin_mkt_riepilogo</w:t>
            </w:r>
            <w:r>
              <w:rPr>
                <w:rFonts w:ascii="Arial" w:cs="Arial" w:eastAsia="Arial" w:hAnsi="Arial"/>
                <w:color w:val="1B2118"/>
                <w:sz w:val="18"/>
                <w:szCs w:val="18"/>
              </w:rPr>
              <w:t xml:space="preserve"> (44)</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regole, micro simulazione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src/lib/marketing.js</w:t>
            </w:r>
            <w:r>
              <w:rPr>
                <w:rFonts w:ascii="Arial" w:cs="Arial" w:eastAsia="Arial" w:hAnsi="Arial"/>
                <w:color w:val="1B2118"/>
                <w:sz w:val="18"/>
                <w:szCs w:val="18"/>
              </w:rPr>
              <w:t xml:space="preserve"> (blocchi </w:t>
            </w:r>
            <w:r>
              <w:rPr>
                <w:rFonts w:ascii="Consolas" w:cs="Consolas" w:eastAsia="Consolas" w:hAnsi="Consolas"/>
                <w:color w:val="2F5D3A"/>
                <w:sz w:val="18"/>
                <w:szCs w:val="18"/>
              </w:rPr>
              <w:t xml:space="preserve">INIZIO-EMAIL-CAMPAGNA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INIZIO-REGOLE-IPA</w:t>
            </w:r>
            <w:r>
              <w:rPr>
                <w:rFonts w:ascii="Arial" w:cs="Arial" w:eastAsia="Arial" w:hAnsi="Arial"/>
                <w:color w:val="1B2118"/>
                <w:sz w:val="18"/>
                <w:szCs w:val="18"/>
              </w:rPr>
              <w:t xml:space="preserve"> copiati identici nella funzione)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del server</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supabase/functions/marketing/index.ts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 IndicePA, Albo Gestori Ambientali</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src/pages/Scopri.jsx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/scopri/disiscrizione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funzione </w:t>
            </w:r>
            <w:r>
              <w:rPr>
                <w:rFonts w:ascii="Consolas" w:cs="Consolas" w:eastAsia="Consolas" w:hAnsi="Consolas"/>
                <w:color w:val="2F5D3A"/>
                <w:sz w:val="18"/>
                <w:szCs w:val="18"/>
              </w:rPr>
              <w:t xml:space="preserve">marketing</w:t>
            </w:r>
            <w:r>
              <w:rPr>
                <w:rFonts w:ascii="Arial" w:cs="Arial" w:eastAsia="Arial" w:hAnsi="Arial"/>
                <w:color w:val="1B2118"/>
                <w:sz w:val="18"/>
                <w:szCs w:val="18"/>
              </w:rPr>
              <w:t xml:space="preserve"> (azioni pubbliche)</w:t>
            </w:r>
          </w:p>
        </w:tc>
      </w:tr>
      <w:tr>
        <w:trPr>
          <w:cantSplit/>
        </w:trPr>
        <w:tc>
          <w:tcPr>
            <w:tcW w:type="dxa" w:w="17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Materiali</w:t>
            </w:r>
          </w:p>
        </w:tc>
        <w:tc>
          <w:tcPr>
            <w:tcW w:type="dxa" w:w="464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public/marketing/</w:t>
            </w:r>
            <w:r>
              <w:rPr>
                <w:rFonts w:ascii="Arial" w:cs="Arial" w:eastAsia="Arial" w:hAnsi="Arial"/>
                <w:color w:val="1B2118"/>
                <w:sz w:val="18"/>
                <w:szCs w:val="18"/>
              </w:rPr>
              <w:t xml:space="preserve"> (grafiche, fascicolo PDF, </w:t>
            </w:r>
            <w:r>
              <w:rPr>
                <w:rFonts w:ascii="Consolas" w:cs="Consolas" w:eastAsia="Consolas" w:hAnsi="Consolas"/>
                <w:color w:val="2F5D3A"/>
                <w:sz w:val="18"/>
                <w:szCs w:val="18"/>
              </w:rPr>
              <w:t xml:space="preserve">dati/comuni_istat.json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strumenti/genera_fascicolo_marketing.mjs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7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464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test/marketing.test.mjs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t44.sql</w:t>
            </w:r>
            <w:r>
              <w:rPr>
                <w:rFonts w:ascii="Arial" w:cs="Arial" w:eastAsia="Arial" w:hAnsi="Arial"/>
                <w:color w:val="1B2118"/>
                <w:sz w:val="18"/>
                <w:szCs w:val="18"/>
              </w:rPr>
              <w:t xml:space="preserve"> sul banco</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Fonti dei dati</w:t>
      </w:r>
    </w:p>
    <w:p>
      <w:pPr>
        <w:pStyle w:val="ListParagraph"/>
        <w:numPr>
          <w:ilvl w:val="0"/>
          <w:numId w:val="3"/>
        </w:numPr>
        <w:spacing w:after="70" w:line="290"/>
      </w:pPr>
      <w:r>
        <w:rPr>
          <w:rFonts w:ascii="Arial" w:cs="Arial" w:eastAsia="Arial" w:hAnsi="Arial"/>
          <w:i/>
          <w:iCs/>
          <w:color w:val="1B2118"/>
          <w:sz w:val="21"/>
          <w:szCs w:val="21"/>
        </w:rPr>
        <w:t xml:space="preserve">Comuni</w:t>
      </w:r>
      <w:r>
        <w:rPr>
          <w:rFonts w:ascii="Arial" w:cs="Arial" w:eastAsia="Arial" w:hAnsi="Arial"/>
          <w:color w:val="1B2118"/>
          <w:sz w:val="21"/>
          <w:szCs w:val="21"/>
        </w:rPr>
        <w:t xml:space="preserve">: elenco ISTAT (7.904 Comuni con regione, provincia e abitanti, copiato da matteocontrini/comuni-json nel file </w:t>
      </w:r>
      <w:r>
        <w:rPr>
          <w:rFonts w:ascii="Consolas" w:cs="Consolas" w:eastAsia="Consolas" w:hAnsi="Consolas"/>
          <w:color w:val="2F5D3A"/>
          <w:sz w:val="21"/>
          <w:szCs w:val="21"/>
        </w:rPr>
        <w:t xml:space="preserve">public/marketing/dati/comuni_istat.json</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IndicePA</w:t>
      </w:r>
      <w:r>
        <w:rPr>
          <w:rFonts w:ascii="Arial" w:cs="Arial" w:eastAsia="Arial" w:hAnsi="Arial"/>
          <w:color w:val="1B2118"/>
          <w:sz w:val="21"/>
          <w:szCs w:val="21"/>
        </w:rPr>
        <w:t xml:space="preserve"> (open data dell'Indice dei domicili digitali della PA, categoria L6 «Comuni e loro Consorzi e Associazioni»): PEC, email generica, sito, sindaco; dalle unità organizzative i responsabili degli uffici tributi, ambiente, finanziario e tecnico (regole in </w:t>
      </w:r>
      <w:r>
        <w:rPr>
          <w:rFonts w:ascii="Consolas" w:cs="Consolas" w:eastAsia="Consolas" w:hAnsi="Consolas"/>
          <w:color w:val="2F5D3A"/>
          <w:sz w:val="21"/>
          <w:szCs w:val="21"/>
        </w:rPr>
        <w:t xml:space="preserve">ruoloUfficio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i/>
          <w:iCs/>
          <w:color w:val="1B2118"/>
          <w:sz w:val="21"/>
          <w:szCs w:val="21"/>
        </w:rPr>
        <w:t xml:space="preserve">Importazione a blocchi</w:t>
      </w:r>
      <w:r>
        <w:rPr>
          <w:rFonts w:ascii="Arial" w:cs="Arial" w:eastAsia="Arial" w:hAnsi="Arial"/>
          <w:color w:val="1B2118"/>
          <w:sz w:val="21"/>
          <w:szCs w:val="21"/>
        </w:rPr>
        <w:t xml:space="preserve"> (dal 23/10, per i tempi della funzione e per IndicePA che con letture grandi risponde «App offline»): uffici a blocchi di 400 Comuni, Albo una provincia per chiamata; un errore di IndicePA sui gestori non blocca il salvataggio delle imprese.</w:t>
      </w:r>
    </w:p>
    <w:p>
      <w:pPr>
        <w:pStyle w:val="ListParagraph"/>
        <w:numPr>
          <w:ilvl w:val="0"/>
          <w:numId w:val="3"/>
        </w:numPr>
        <w:spacing w:after="70" w:line="290"/>
      </w:pPr>
      <w:r>
        <w:rPr>
          <w:rFonts w:ascii="Arial" w:cs="Arial" w:eastAsia="Arial" w:hAnsi="Arial"/>
          <w:i/>
          <w:iCs/>
          <w:color w:val="1B2118"/>
          <w:sz w:val="21"/>
          <w:szCs w:val="21"/>
        </w:rPr>
        <w:t xml:space="preserve">Verifica dei gestori sui siti</w:t>
      </w:r>
      <w:r>
        <w:rPr>
          <w:rFonts w:ascii="Arial" w:cs="Arial" w:eastAsia="Arial" w:hAnsi="Arial"/>
          <w:color w:val="1B2118"/>
          <w:sz w:val="21"/>
          <w:szCs w:val="21"/>
        </w:rPr>
        <w:t xml:space="preserve"> (dal 23/10): a lotti, per classe di iscrizione (prima A-C); risultati in JSON con la fonte di ogni dato, trasformati in SQL da </w:t>
      </w:r>
      <w:r>
        <w:rPr>
          <w:rFonts w:ascii="Consolas" w:cs="Consolas" w:eastAsia="Consolas" w:hAnsi="Consolas"/>
          <w:color w:val="2F5D3A"/>
          <w:sz w:val="21"/>
          <w:szCs w:val="21"/>
        </w:rPr>
        <w:t xml:space="preserve">strumenti/marketing_arricchimento_sql.py</w:t>
      </w:r>
      <w:r>
        <w:rPr>
          <w:rFonts w:ascii="Arial" w:cs="Arial" w:eastAsia="Arial" w:hAnsi="Arial"/>
          <w:color w:val="1B2118"/>
          <w:sz w:val="21"/>
          <w:szCs w:val="21"/>
        </w:rPr>
        <w:t xml:space="preserve"> ed eseguiti nel SQL Editor. Ogni impresa verificata ha </w:t>
      </w:r>
      <w:r>
        <w:rPr>
          <w:rFonts w:ascii="Consolas" w:cs="Consolas" w:eastAsia="Consolas" w:hAnsi="Consolas"/>
          <w:color w:val="2F5D3A"/>
          <w:sz w:val="21"/>
          <w:szCs w:val="21"/>
        </w:rPr>
        <w:t xml:space="preserve">verificato_il</w:t>
      </w:r>
      <w:r>
        <w:rPr>
          <w:rFonts w:ascii="Arial" w:cs="Arial" w:eastAsia="Arial" w:hAnsi="Arial"/>
          <w:color w:val="1B2118"/>
          <w:sz w:val="21"/>
          <w:szCs w:val="21"/>
        </w:rPr>
        <w:t xml:space="preserve">, le fonti e una nota con le evidenze (Comuni serviti, tariffa).</w:t>
      </w:r>
    </w:p>
    <w:p>
      <w:pPr>
        <w:pStyle w:val="ListParagraph"/>
        <w:numPr>
          <w:ilvl w:val="0"/>
          <w:numId w:val="3"/>
        </w:numPr>
        <w:spacing w:after="70" w:line="290"/>
      </w:pPr>
      <w:r>
        <w:rPr>
          <w:rFonts w:ascii="Arial" w:cs="Arial" w:eastAsia="Arial" w:hAnsi="Arial"/>
          <w:i/>
          <w:iCs/>
          <w:color w:val="1B2118"/>
          <w:sz w:val="21"/>
          <w:szCs w:val="21"/>
        </w:rPr>
        <w:t xml:space="preserve">Gestori</w:t>
      </w:r>
      <w:r>
        <w:rPr>
          <w:rFonts w:ascii="Arial" w:cs="Arial" w:eastAsia="Arial" w:hAnsi="Arial"/>
          <w:color w:val="1B2118"/>
          <w:sz w:val="21"/>
          <w:szCs w:val="21"/>
        </w:rPr>
        <w:t xml:space="preserve">: elenco pubblico degli iscritti all'</w:t>
      </w:r>
      <w:r>
        <w:rPr>
          <w:rFonts w:ascii="Arial" w:cs="Arial" w:eastAsia="Arial" w:hAnsi="Arial"/>
          <w:b/>
          <w:bCs/>
          <w:color w:val="1B2118"/>
          <w:sz w:val="21"/>
          <w:szCs w:val="21"/>
        </w:rPr>
        <w:t xml:space="preserve">Albo Nazionale Gestori Ambientali</w:t>
      </w:r>
      <w:r>
        <w:rPr>
          <w:rFonts w:ascii="Arial" w:cs="Arial" w:eastAsia="Arial" w:hAnsi="Arial"/>
          <w:color w:val="1B2118"/>
          <w:sz w:val="21"/>
          <w:szCs w:val="21"/>
        </w:rPr>
        <w:t xml:space="preserve">, sezione per sezione, filtrato sulla categoria «1o» (raccolta e trasporto di rifiuti urbani, ordinaria). L'elenco pubblico non dà email né referenti: per i gestori pubblici PEC, email e sito arrivano da IndicePA (codice fiscale); per le imprese private attività (raccolta, gestione della tariffa), PEC, email e direttori/amministratori si verificano sui siti e si registrano nella scheda (fonte annotata). INI-PEC non si usa (CAPTCHA).</w:t>
      </w:r>
    </w:p>
    <w:p>
      <w:pPr>
        <w:spacing w:after="140" w:line="300"/>
      </w:pPr>
      <w:r>
        <w:rPr>
          <w:rFonts w:ascii="Arial" w:cs="Arial" w:eastAsia="Arial" w:hAnsi="Arial"/>
          <w:b/>
          <w:bCs/>
          <w:color w:val="1B2118"/>
          <w:sz w:val="21"/>
          <w:szCs w:val="21"/>
        </w:rPr>
        <w:t xml:space="preserve">Regole delle campagne</w:t>
      </w:r>
    </w:p>
    <w:p>
      <w:pPr>
        <w:pStyle w:val="ListParagraph"/>
        <w:numPr>
          <w:ilvl w:val="0"/>
          <w:numId w:val="3"/>
        </w:numPr>
        <w:spacing w:after="70" w:line="290"/>
      </w:pPr>
      <w:r>
        <w:rPr>
          <w:rFonts w:ascii="Arial" w:cs="Arial" w:eastAsia="Arial" w:hAnsi="Arial"/>
          <w:color w:val="1B2118"/>
          <w:sz w:val="21"/>
          <w:szCs w:val="21"/>
        </w:rPr>
        <w:t xml:space="preserve">Destinatari scelti per ogni campagna (tipo, regioni, abitanti, natura, attività); nessun invio automatico a tutti.</w:t>
      </w:r>
    </w:p>
    <w:p>
      <w:pPr>
        <w:pStyle w:val="ListParagraph"/>
        <w:numPr>
          <w:ilvl w:val="0"/>
          <w:numId w:val="3"/>
        </w:numPr>
        <w:spacing w:after="70" w:line="290"/>
      </w:pPr>
      <w:r>
        <w:rPr>
          <w:rFonts w:ascii="Arial" w:cs="Arial" w:eastAsia="Arial" w:hAnsi="Arial"/>
          <w:color w:val="1B2118"/>
          <w:sz w:val="21"/>
          <w:szCs w:val="21"/>
        </w:rPr>
        <w:t xml:space="preserve">Solo </w:t>
      </w:r>
      <w:r>
        <w:rPr>
          <w:rFonts w:ascii="Arial" w:cs="Arial" w:eastAsia="Arial" w:hAnsi="Arial"/>
          <w:b/>
          <w:bCs/>
          <w:color w:val="1B2118"/>
          <w:sz w:val="21"/>
          <w:szCs w:val="21"/>
        </w:rPr>
        <w:t xml:space="preserve">email generiche</w:t>
      </w:r>
      <w:r>
        <w:rPr>
          <w:rFonts w:ascii="Arial" w:cs="Arial" w:eastAsia="Arial" w:hAnsi="Arial"/>
          <w:color w:val="1B2118"/>
          <w:sz w:val="21"/>
          <w:szCs w:val="21"/>
        </w:rPr>
        <w:t xml:space="preserve">: le PEC non sono mai usate (controllo nel database </w:t>
      </w:r>
      <w:r>
        <w:rPr>
          <w:rFonts w:ascii="Consolas" w:cs="Consolas" w:eastAsia="Consolas" w:hAnsi="Consolas"/>
          <w:color w:val="2F5D3A"/>
          <w:sz w:val="21"/>
          <w:szCs w:val="21"/>
        </w:rPr>
        <w:t xml:space="preserve">mkt_email_non_pec</w:t>
      </w:r>
      <w:r>
        <w:rPr>
          <w:rFonts w:ascii="Arial" w:cs="Arial" w:eastAsia="Arial" w:hAnsi="Arial"/>
          <w:color w:val="1B2118"/>
          <w:sz w:val="21"/>
          <w:szCs w:val="21"/>
        </w:rPr>
        <w:t xml:space="preserve"> e nella funzione).</w:t>
      </w:r>
    </w:p>
    <w:p>
      <w:pPr>
        <w:pStyle w:val="ListParagraph"/>
        <w:numPr>
          <w:ilvl w:val="0"/>
          <w:numId w:val="3"/>
        </w:numPr>
        <w:spacing w:after="70" w:line="290"/>
      </w:pPr>
      <w:r>
        <w:rPr>
          <w:rFonts w:ascii="Arial" w:cs="Arial" w:eastAsia="Arial" w:hAnsi="Arial"/>
          <w:color w:val="1B2118"/>
          <w:sz w:val="21"/>
          <w:szCs w:val="21"/>
        </w:rPr>
        <w:t xml:space="preserve">Ogni email ha l'informativa (titolare, fonte pubblica dell'indirizzo) e il collegamento «Non desidero ricevere altre comunicazioni» (</w:t>
      </w:r>
      <w:r>
        <w:rPr>
          <w:rFonts w:ascii="Consolas" w:cs="Consolas" w:eastAsia="Consolas" w:hAnsi="Consolas"/>
          <w:color w:val="2F5D3A"/>
          <w:sz w:val="21"/>
          <w:szCs w:val="21"/>
        </w:rPr>
        <w:t xml:space="preserve">mkt_disiscrizione</w:t>
      </w:r>
      <w:r>
        <w:rPr>
          <w:rFonts w:ascii="Arial" w:cs="Arial" w:eastAsia="Arial" w:hAnsi="Arial"/>
          <w:color w:val="1B2118"/>
          <w:sz w:val="21"/>
          <w:szCs w:val="21"/>
        </w:rPr>
        <w:t xml:space="preserve">, escluso da tutte le campagne successive), anche nell'intestazione List-Unsubscribe.</w:t>
      </w:r>
    </w:p>
    <w:p>
      <w:pPr>
        <w:pStyle w:val="ListParagraph"/>
        <w:numPr>
          <w:ilvl w:val="0"/>
          <w:numId w:val="3"/>
        </w:numPr>
        <w:spacing w:after="70" w:line="290"/>
      </w:pPr>
      <w:r>
        <w:rPr>
          <w:rFonts w:ascii="Arial" w:cs="Arial" w:eastAsia="Arial" w:hAnsi="Arial"/>
          <w:color w:val="1B2118"/>
          <w:sz w:val="21"/>
          <w:szCs w:val="21"/>
        </w:rPr>
        <w:t xml:space="preserve">Invio a blocchi di 50 con pausa; piano gratuito di Resend: 100 email al giorno; finché il dominio non è verificato le email arrivano solo al titolare dell'account (prova «Invia una prova a me»).</w:t>
      </w:r>
    </w:p>
    <w:p>
      <w:pPr>
        <w:spacing w:after="140" w:line="300"/>
      </w:pPr>
      <w:r>
        <w:rPr>
          <w:rFonts w:ascii="Arial" w:cs="Arial" w:eastAsia="Arial" w:hAnsi="Arial"/>
          <w:b/>
          <w:bCs/>
          <w:color w:val="1B2118"/>
          <w:sz w:val="21"/>
          <w:szCs w:val="21"/>
        </w:rPr>
        <w:t xml:space="preserve">Pagina «Approfondisci» (/scopri)</w:t>
      </w:r>
    </w:p>
    <w:p>
      <w:pPr>
        <w:pStyle w:val="ListParagraph"/>
        <w:numPr>
          <w:ilvl w:val="0"/>
          <w:numId w:val="3"/>
        </w:numPr>
        <w:spacing w:after="70" w:line="290"/>
      </w:pPr>
      <w:r>
        <w:rPr>
          <w:rFonts w:ascii="Arial" w:cs="Arial" w:eastAsia="Arial" w:hAnsi="Arial"/>
          <w:color w:val="1B2118"/>
          <w:sz w:val="21"/>
          <w:szCs w:val="21"/>
        </w:rPr>
        <w:t xml:space="preserve">Il collegamento dell'email porta il codice casuale dell'invio: la pagina legge solo nome e abitanti dell'ente e registra visita, simulazione e richiesta (statistiche della campagna).</w:t>
      </w:r>
    </w:p>
    <w:p>
      <w:pPr>
        <w:pStyle w:val="ListParagraph"/>
        <w:numPr>
          <w:ilvl w:val="0"/>
          <w:numId w:val="3"/>
        </w:numPr>
        <w:spacing w:after="70" w:line="290"/>
      </w:pPr>
      <w:r>
        <w:rPr>
          <w:rFonts w:ascii="Arial" w:cs="Arial" w:eastAsia="Arial" w:hAnsi="Arial"/>
          <w:color w:val="1B2118"/>
          <w:sz w:val="21"/>
          <w:szCs w:val="21"/>
        </w:rPr>
        <w:t xml:space="preserve">Micro simulazione: abitanti, rifiuti totali e secco residuo (t/anno), durata 7/10/21 anni, Caso 1 o 2 → stessa </w:t>
      </w:r>
      <w:r>
        <w:rPr>
          <w:rFonts w:ascii="Consolas" w:cs="Consolas" w:eastAsia="Consolas" w:hAnsi="Consolas"/>
          <w:color w:val="2F5D3A"/>
          <w:sz w:val="21"/>
          <w:szCs w:val="21"/>
        </w:rPr>
        <w:t xml:space="preserve">simula</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del simulatore (metodo «per utenza», buffer della Metodologia, prezzo 32 €, listino del caso; secco −30% e totale −5% pro capite entro l'ultimo anno). Ipotesi sempre visibili.</w:t>
      </w:r>
    </w:p>
    <w:p>
      <w:pPr>
        <w:pStyle w:val="ListParagraph"/>
        <w:numPr>
          <w:ilvl w:val="0"/>
          <w:numId w:val="3"/>
        </w:numPr>
        <w:spacing w:after="70" w:line="290"/>
      </w:pPr>
      <w:r>
        <w:rPr>
          <w:rFonts w:ascii="Arial" w:cs="Arial" w:eastAsia="Arial" w:hAnsi="Arial"/>
          <w:color w:val="1B2118"/>
          <w:sz w:val="21"/>
          <w:szCs w:val="21"/>
        </w:rPr>
        <w:t xml:space="preserve">Richiesta di registrazione: salvata in </w:t>
      </w:r>
      <w:r>
        <w:rPr>
          <w:rFonts w:ascii="Consolas" w:cs="Consolas" w:eastAsia="Consolas" w:hAnsi="Consolas"/>
          <w:color w:val="2F5D3A"/>
          <w:sz w:val="21"/>
          <w:szCs w:val="21"/>
        </w:rPr>
        <w:t xml:space="preserve">mkt_richiesta</w:t>
      </w:r>
      <w:r>
        <w:rPr>
          <w:rFonts w:ascii="Arial" w:cs="Arial" w:eastAsia="Arial" w:hAnsi="Arial"/>
          <w:color w:val="1B2118"/>
          <w:sz w:val="21"/>
          <w:szCs w:val="21"/>
        </w:rPr>
        <w:t xml:space="preserve">, notifica ed email a tutti gli Amministratori attivi (</w:t>
      </w:r>
      <w:r>
        <w:rPr>
          <w:rFonts w:ascii="Consolas" w:cs="Consolas" w:eastAsia="Consolas" w:hAnsi="Consolas"/>
          <w:color w:val="2F5D3A"/>
          <w:sz w:val="21"/>
          <w:szCs w:val="21"/>
        </w:rPr>
        <w:t xml:space="preserve">cwp_notifica</w:t>
      </w:r>
      <w:r>
        <w:rPr>
          <w:rFonts w:ascii="Arial" w:cs="Arial" w:eastAsia="Arial" w:hAnsi="Arial"/>
          <w:color w:val="1B2118"/>
          <w:sz w:val="21"/>
          <w:szCs w:val="21"/>
        </w:rPr>
        <w:t xml:space="preserve">, evento </w:t>
      </w:r>
      <w:r>
        <w:rPr>
          <w:rFonts w:ascii="Consolas" w:cs="Consolas" w:eastAsia="Consolas" w:hAnsi="Consolas"/>
          <w:color w:val="2F5D3A"/>
          <w:sz w:val="21"/>
          <w:szCs w:val="21"/>
        </w:rPr>
        <w:t xml:space="preserve">richiesta_registrazione</w:t>
      </w:r>
      <w:r>
        <w:rPr>
          <w:rFonts w:ascii="Arial" w:cs="Arial" w:eastAsia="Arial" w:hAnsi="Arial"/>
          <w:color w:val="1B2118"/>
          <w:sz w:val="21"/>
          <w:szCs w:val="21"/>
        </w:rPr>
        <w:t xml:space="preserve">); campo trappola contro i robot e limiti di invio.</w:t>
      </w:r>
    </w:p>
    <w:p>
      <w:pPr>
        <w:pStyle w:val="ListParagraph"/>
        <w:numPr>
          <w:ilvl w:val="0"/>
          <w:numId w:val="3"/>
        </w:numPr>
        <w:spacing w:after="70" w:line="290"/>
      </w:pPr>
      <w:r>
        <w:rPr>
          <w:rFonts w:ascii="Arial" w:cs="Arial" w:eastAsia="Arial" w:hAnsi="Arial"/>
          <w:color w:val="1B2118"/>
          <w:sz w:val="21"/>
          <w:szCs w:val="21"/>
        </w:rPr>
        <w:t xml:space="preserve">Fascicolo informativo: </w:t>
      </w:r>
      <w:r>
        <w:rPr>
          <w:rFonts w:ascii="Consolas" w:cs="Consolas" w:eastAsia="Consolas" w:hAnsi="Consolas"/>
          <w:color w:val="2F5D3A"/>
          <w:sz w:val="21"/>
          <w:szCs w:val="21"/>
        </w:rPr>
        <w:t xml:space="preserve">node strumenti/genera_fascicolo_marketing.mjs</w:t>
      </w:r>
      <w:r>
        <w:rPr>
          <w:rFonts w:ascii="Arial" w:cs="Arial" w:eastAsia="Arial" w:hAnsi="Arial"/>
          <w:color w:val="1B2118"/>
          <w:sz w:val="21"/>
          <w:szCs w:val="21"/>
        </w:rPr>
        <w:t xml:space="preserve"> (WeasyPrint); da rigenerare se cambiano prezzo, listini o regole.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7.7 · 23/10/2026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7.7 · 23/10/2026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ekyyj9mijd3tci6syppe4" Type="http://schemas.openxmlformats.org/officeDocument/2006/relationships/hyperlink" Target="https://claude.ai/artifact/L9duSXhNfKejbz6RKXDQQv" TargetMode="External"/><Relationship Id="rId_l4igbdmsp8nul3waa0q_" Type="http://schemas.openxmlformats.org/officeDocument/2006/relationships/hyperlink" Target="https://claude.ai/code/artifact/e2dd2bd5-8042-4744-8d5a-54d34dc50153" TargetMode="External"/><Relationship Id="rIdkj3oim48xzrynr_4vfudf" Type="http://schemas.openxmlformats.org/officeDocument/2006/relationships/hyperlink" Target="https://claude.ai/code/artifact/cc36ab09-61e6-4dad-aaf0-4082ea0a46da" TargetMode="External"/><Relationship Id="rIdjcbii9u_5_vaelmzpjrws"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7.7)</dc:title>
  <dc:creator>Fondazione Operate</dc:creator>
  <cp:lastModifiedBy>Un-named</cp:lastModifiedBy>
  <cp:revision>1</cp:revision>
  <dcterms:created xsi:type="dcterms:W3CDTF">2026-10-23T12:36:02.394Z</dcterms:created>
  <dcterms:modified xsi:type="dcterms:W3CDTF">2026-10-23T12:36:02.394Z</dcterms:modified>
</cp:coreProperties>
</file>

<file path=docProps/custom.xml><?xml version="1.0" encoding="utf-8"?>
<Properties xmlns="http://schemas.openxmlformats.org/officeDocument/2006/custom-properties" xmlns:vt="http://schemas.openxmlformats.org/officeDocument/2006/docPropsVTypes"/>
</file>