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5.8</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protezione dei dati del tracciato e della Banca Dati Utenze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valore dei crediti in simulazione e in fase esecutiva; Impostazioni: prezzo di riferimento del credito.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«Calcola» usa le utenze (categoria di simulazione come classe della delibera, kg misurati, frazioni per utenza); utenze senza categoria o fuori delibera escluse e conferma bloccata; fonte nei Risultati, nel CSV e nel PDF.</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delle utenze; calcolo di prova.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delle utenze nel passo 5a del calcolo: caricamento, schede, modulo; categorie tariffaria e di simulazione.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campi, regole, dati personali.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dal telefono: menu a pannello, schede in Dashboard e Audit, elenco e dettaglio delle pratiche.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N01-N06: costi una tantum in 10 rate, feedback pubblico e fase 3, ente prima della fase 5, riquadro «Fase aperta senza scadenza», avviso sui codici, frazioni del fattore dell'indifferenziato.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diventa «Notizie CO2»; Google News attraverso il tramite; barra a LED nell'elenco e nella pratica. Pallino verde delle Notizie CO2 nuove. Notizie CO2: siti di notizie ambientali al posto di Google News. Notizie CO2: siti di notizie ambientali al posto di Google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5.8 del 23/10/2026.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13</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16</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17</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18</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20</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21</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23</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24</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25</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28</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29</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32</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35</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44</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48</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50</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51</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52</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53</w:t>
        </w:r>
      </w:hyperlink>
    </w:p>
    <w:p>
      <w:pPr>
        <w:tabs>
          <w:tab w:val="right" w:pos="9638" w:leader="dot"/>
        </w:tabs>
        <w:spacing w:after="130"/>
      </w:pPr>
      <w:hyperlink w:history="1" w:anchor="cap25">
        <w:r>
          <w:rPr>
            <w:rFonts w:ascii="Arial" w:cs="Arial" w:eastAsia="Arial" w:hAnsi="Arial"/>
            <w:color w:val="1B2118"/>
            <w:sz w:val="22"/>
            <w:szCs w:val="22"/>
          </w:rPr>
          <w:t xml:space="preserve">25.  Notizie CO2: osservatorio sui crediti di carbonio volontari</w:t>
        </w:r>
        <w:r>
          <w:rPr>
            <w:rFonts w:ascii="Arial" w:cs="Arial" w:eastAsia="Arial" w:hAnsi="Arial"/>
            <w:color w:val="1B2118"/>
            <w:sz w:val="22"/>
            <w:szCs w:val="22"/>
          </w:rPr>
          <w:tab/>
          <w:t xml:space="preserve"/>
        </w:r>
      </w:hyperlink>
    </w:p>
    <w:p>
      <w:pPr>
        <w:tabs>
          <w:tab w:val="right" w:pos="9638" w:leader="dot"/>
        </w:tabs>
        <w:spacing w:after="130"/>
      </w:pPr>
      <w:hyperlink w:history="1" w:anchor="cap26">
        <w:r>
          <w:rPr>
            <w:rFonts w:ascii="Arial" w:cs="Arial" w:eastAsia="Arial" w:hAnsi="Arial"/>
            <w:color w:val="1B2118"/>
            <w:sz w:val="22"/>
            <w:szCs w:val="22"/>
          </w:rPr>
          <w:t xml:space="preserve">26.  Assistente virtuale</w:t>
        </w:r>
        <w:r>
          <w:rPr>
            <w:rFonts w:ascii="Arial" w:cs="Arial" w:eastAsia="Arial" w:hAnsi="Arial"/>
            <w:color w:val="1B2118"/>
            <w:sz w:val="22"/>
            <w:szCs w:val="22"/>
          </w:rPr>
          <w:tab/>
          <w:t xml:space="preserve">56</w:t>
        </w:r>
      </w:hyperlink>
    </w:p>
    <w:p>
      <w:pPr>
        <w:tabs>
          <w:tab w:val="right" w:pos="9638" w:leader="dot"/>
        </w:tabs>
        <w:spacing w:after="130"/>
      </w:pPr>
      <w:hyperlink w:history="1" w:anchor="cap27">
        <w:r>
          <w:rPr>
            <w:rFonts w:ascii="Arial" w:cs="Arial" w:eastAsia="Arial" w:hAnsi="Arial"/>
            <w:color w:val="1B2118"/>
            <w:sz w:val="22"/>
            <w:szCs w:val="22"/>
          </w:rPr>
          <w:t xml:space="preserve">27.  Sicurezza</w:t>
        </w:r>
        <w:r>
          <w:rPr>
            <w:rFonts w:ascii="Arial" w:cs="Arial" w:eastAsia="Arial" w:hAnsi="Arial"/>
            <w:color w:val="1B2118"/>
            <w:sz w:val="22"/>
            <w:szCs w:val="22"/>
          </w:rPr>
          <w:tab/>
          <w:t xml:space="preserve">58</w:t>
        </w:r>
      </w:hyperlink>
    </w:p>
    <w:p>
      <w:pPr>
        <w:tabs>
          <w:tab w:val="right" w:pos="9638" w:leader="dot"/>
        </w:tabs>
        <w:spacing w:after="130"/>
      </w:pPr>
      <w:hyperlink w:history="1" w:anchor="cap28">
        <w:r>
          <w:rPr>
            <w:rFonts w:ascii="Arial" w:cs="Arial" w:eastAsia="Arial" w:hAnsi="Arial"/>
            <w:color w:val="1B2118"/>
            <w:sz w:val="22"/>
            <w:szCs w:val="22"/>
          </w:rPr>
          <w:t xml:space="preserve">28.  Manutenzione ed emergenze</w:t>
        </w:r>
        <w:r>
          <w:rPr>
            <w:rFonts w:ascii="Arial" w:cs="Arial" w:eastAsia="Arial" w:hAnsi="Arial"/>
            <w:color w:val="1B2118"/>
            <w:sz w:val="22"/>
            <w:szCs w:val="22"/>
          </w:rPr>
          <w:tab/>
          <w:t xml:space="preserve">59</w:t>
        </w:r>
      </w:hyperlink>
    </w:p>
    <w:p>
      <w:pPr>
        <w:tabs>
          <w:tab w:val="right" w:pos="9638" w:leader="dot"/>
        </w:tabs>
        <w:spacing w:after="130"/>
      </w:pPr>
      <w:hyperlink w:history="1" w:anchor="cap29">
        <w:r>
          <w:rPr>
            <w:rFonts w:ascii="Arial" w:cs="Arial" w:eastAsia="Arial" w:hAnsi="Arial"/>
            <w:color w:val="1B2118"/>
            <w:sz w:val="22"/>
            <w:szCs w:val="22"/>
          </w:rPr>
          <w:t xml:space="preserve">29.  Funzioni in arrivo</w:t>
        </w:r>
        <w:r>
          <w:rPr>
            <w:rFonts w:ascii="Arial" w:cs="Arial" w:eastAsia="Arial" w:hAnsi="Arial"/>
            <w:color w:val="1B2118"/>
            <w:sz w:val="22"/>
            <w:szCs w:val="22"/>
          </w:rPr>
          <w:tab/>
          <w:t xml:space="preserve">60</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Notizie CO2: osservatorio sui crediti di carbonio volontari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qwaawmmc0bm4yseehrbiv">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Notizie CO2;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b/>
          <w:bCs/>
          <w:color w:val="1B2118"/>
          <w:sz w:val="21"/>
          <w:szCs w:val="21"/>
        </w:rPr>
        <w:t xml:space="preserve">Dal telefono (dal 22/10/2026).</w:t>
      </w:r>
      <w:r>
        <w:rPr>
          <w:rFonts w:ascii="Arial" w:cs="Arial" w:eastAsia="Arial" w:hAnsi="Arial"/>
          <w:color w:val="1B2118"/>
          <w:sz w:val="21"/>
          <w:szCs w:val="21"/>
        </w:rPr>
        <w:t xml:space="preserve"> Su uno schermo fino a 760 px l'intestazione mostra solo i loghi, la campanella e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che apre tutte le voci, il profilo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il pallino verde delle Notizie CO2 compare sul pulsante Menu e accanto alla voce. La tabella della Dashboard e quella dell'Audit diventano schede, una per pratica o per evento, con l'etichetta di ogni colonna; l'ordine si sceglie con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sopra le schede. In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si vede prima l'elenco: toccando una pratica si apre il dettaglio, con </w:t>
      </w:r>
      <w:r>
        <w:rPr>
          <w:rFonts w:ascii="Arial" w:cs="Arial" w:eastAsia="Arial" w:hAnsi="Arial"/>
          <w:b/>
          <w:bCs/>
          <w:color w:val="1B2118"/>
          <w:sz w:val="21"/>
          <w:szCs w:val="21"/>
        </w:rPr>
        <w:t xml:space="preserve">← Tutte le pratiche</w:t>
      </w:r>
      <w:r>
        <w:rPr>
          <w:rFonts w:ascii="Arial" w:cs="Arial" w:eastAsia="Arial" w:hAnsi="Arial"/>
          <w:color w:val="1B2118"/>
          <w:sz w:val="21"/>
          <w:szCs w:val="21"/>
        </w:rPr>
        <w:t xml:space="preserve"> in alto. Le tabelle più larghe (simulatore, calcolo) scorrono di lato dentro il loro riquadro. I campi di testo sono a 16 px, così l'iPhone non ingrandisce la pagina quando li si tocca.</w:t>
      </w:r>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 La stessa barra, in piccolo, compare </w:t>
      </w:r>
      <w:r>
        <w:rPr>
          <w:rFonts w:ascii="Arial" w:cs="Arial" w:eastAsia="Arial" w:hAnsi="Arial"/>
          <w:b/>
          <w:bCs/>
          <w:color w:val="1B2118"/>
          <w:sz w:val="21"/>
          <w:szCs w:val="21"/>
        </w:rPr>
        <w:t xml:space="preserve">nell'elenco delle pratiche</w:t>
      </w:r>
      <w:r>
        <w:rPr>
          <w:rFonts w:ascii="Arial" w:cs="Arial" w:eastAsia="Arial" w:hAnsi="Arial"/>
          <w:color w:val="1B2118"/>
          <w:sz w:val="21"/>
          <w:szCs w:val="21"/>
        </w:rPr>
        <w:t xml:space="preserve"> a sinistra della pagina Pratiche (in alto a destra di ogni riquadro, con lo stato sotto) e </w:t>
      </w:r>
      <w:r>
        <w:rPr>
          <w:rFonts w:ascii="Arial" w:cs="Arial" w:eastAsia="Arial" w:hAnsi="Arial"/>
          <w:b/>
          <w:bCs/>
          <w:color w:val="1B2118"/>
          <w:sz w:val="21"/>
          <w:szCs w:val="21"/>
        </w:rPr>
        <w:t xml:space="preserve">in alto a destra nella pratica aperta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Valore dei crediti (dal 23/10/2026).</w:t>
      </w:r>
      <w:r>
        <w:rPr>
          <w:rFonts w:ascii="Arial" w:cs="Arial" w:eastAsia="Arial" w:hAnsi="Arial"/>
          <w:color w:val="1B2118"/>
          <w:sz w:val="21"/>
          <w:szCs w:val="21"/>
        </w:rPr>
        <w:t xml:space="preserve"> In cima alla Dashboard due riquadri danno il valore complessivo dei crediti di tutto il portale, in crediti (1 credito = 1 tCO₂eq) e in euro:</w:t>
      </w:r>
    </w:p>
    <w:p>
      <w:pPr>
        <w:pStyle w:val="ListParagraph"/>
        <w:numPr>
          <w:ilvl w:val="0"/>
          <w:numId w:val="2"/>
        </w:numPr>
        <w:spacing w:after="70" w:line="290"/>
      </w:pPr>
      <w:r>
        <w:rPr>
          <w:rFonts w:ascii="Arial" w:cs="Arial" w:eastAsia="Arial" w:hAnsi="Arial"/>
          <w:b/>
          <w:bCs/>
          <w:color w:val="1B2118"/>
          <w:sz w:val="21"/>
          <w:szCs w:val="21"/>
        </w:rPr>
        <w:t xml:space="preserve">Crediti in simulazione</w:t>
      </w:r>
      <w:r>
        <w:rPr>
          <w:rFonts w:ascii="Arial" w:cs="Arial" w:eastAsia="Arial" w:hAnsi="Arial"/>
          <w:color w:val="1B2118"/>
          <w:sz w:val="21"/>
          <w:szCs w:val="21"/>
        </w:rPr>
        <w:t xml:space="preserve">: per ogni Comune conta solo lo scenario del Simulatore </w:t>
      </w:r>
      <w:r>
        <w:rPr>
          <w:rFonts w:ascii="Arial" w:cs="Arial" w:eastAsia="Arial" w:hAnsi="Arial"/>
          <w:b/>
          <w:bCs/>
          <w:color w:val="1B2118"/>
          <w:sz w:val="21"/>
          <w:szCs w:val="21"/>
        </w:rPr>
        <w:t xml:space="preserve">aggiornato più di recente</w:t>
      </w:r>
      <w:r>
        <w:rPr>
          <w:rFonts w:ascii="Arial" w:cs="Arial" w:eastAsia="Arial" w:hAnsi="Arial"/>
          <w:color w:val="1B2118"/>
          <w:sz w:val="21"/>
          <w:szCs w:val="21"/>
        </w:rPr>
        <w:t xml:space="preserve"> (gli scenari prudente, obiettivo, ambizioso… sono alternative e non si sommano), con i crediti netti di tutto il periodo simulato (7, 10 o 21 anni). Gli euro sono i ricavi dello scenario (crediti × valore del credito anno per anno). Gli scenari salvati prima del 23/10/2026 o senza valore del credito si valorizzano al prezzo di riferimento e il riquadro dice quanti sono: basta riaprirli e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nel Simulatore. È una stima ex ante, non certificabile.</w:t>
      </w:r>
    </w:p>
    <w:p>
      <w:pPr>
        <w:pStyle w:val="ListParagraph"/>
        <w:numPr>
          <w:ilvl w:val="0"/>
          <w:numId w:val="2"/>
        </w:numPr>
        <w:spacing w:after="70" w:line="290"/>
      </w:pPr>
      <w:r>
        <w:rPr>
          <w:rFonts w:ascii="Arial" w:cs="Arial" w:eastAsia="Arial" w:hAnsi="Arial"/>
          <w:b/>
          <w:bCs/>
          <w:color w:val="1B2118"/>
          <w:sz w:val="21"/>
          <w:szCs w:val="21"/>
        </w:rPr>
        <w:t xml:space="preserve">Crediti in fase esecutiva</w:t>
      </w:r>
      <w:r>
        <w:rPr>
          <w:rFonts w:ascii="Arial" w:cs="Arial" w:eastAsia="Arial" w:hAnsi="Arial"/>
          <w:color w:val="1B2118"/>
          <w:sz w:val="21"/>
          <w:szCs w:val="21"/>
        </w:rPr>
        <w:t xml:space="preserve">: tre righe. </w:t>
      </w:r>
      <w:r>
        <w:rPr>
          <w:rFonts w:ascii="Arial" w:cs="Arial" w:eastAsia="Arial" w:hAnsi="Arial"/>
          <w:b/>
          <w:bCs/>
          <w:color w:val="1B2118"/>
          <w:sz w:val="21"/>
          <w:szCs w:val="21"/>
        </w:rPr>
        <w:t xml:space="preserve">Calcolati</w:t>
      </w:r>
      <w:r>
        <w:rPr>
          <w:rFonts w:ascii="Arial" w:cs="Arial" w:eastAsia="Arial" w:hAnsi="Arial"/>
          <w:color w:val="1B2118"/>
          <w:sz w:val="21"/>
          <w:szCs w:val="21"/>
        </w:rPr>
        <w:t xml:space="preserve">: crediti netti dei calcoli ex post confermati e ancora validi (non sostituiti da una nuova versione). </w:t>
      </w:r>
      <w:r>
        <w:rPr>
          <w:rFonts w:ascii="Arial" w:cs="Arial" w:eastAsia="Arial" w:hAnsi="Arial"/>
          <w:b/>
          <w:bCs/>
          <w:color w:val="1B2118"/>
          <w:sz w:val="21"/>
          <w:szCs w:val="21"/>
        </w:rPr>
        <w:t xml:space="preserve">Emessi</w:t>
      </w:r>
      <w:r>
        <w:rPr>
          <w:rFonts w:ascii="Arial" w:cs="Arial" w:eastAsia="Arial" w:hAnsi="Arial"/>
          <w:color w:val="1B2118"/>
          <w:sz w:val="21"/>
          <w:szCs w:val="21"/>
        </w:rPr>
        <w:t xml:space="preserve">: crediti dei lotti emessi dai Rapporti. </w:t>
      </w:r>
      <w:r>
        <w:rPr>
          <w:rFonts w:ascii="Arial" w:cs="Arial" w:eastAsia="Arial" w:hAnsi="Arial"/>
          <w:b/>
          <w:bCs/>
          <w:color w:val="1B2118"/>
          <w:sz w:val="21"/>
          <w:szCs w:val="21"/>
        </w:rPr>
        <w:t xml:space="preserve">Venduti</w:t>
      </w:r>
      <w:r>
        <w:rPr>
          <w:rFonts w:ascii="Arial" w:cs="Arial" w:eastAsia="Arial" w:hAnsi="Arial"/>
          <w:color w:val="1B2118"/>
          <w:sz w:val="21"/>
          <w:szCs w:val="21"/>
        </w:rPr>
        <w:t xml:space="preserve">: crediti venduti con il valore comunicato dal registro. Calcolati ed emessi sono valorizzati al </w:t>
      </w:r>
      <w:r>
        <w:rPr>
          <w:rFonts w:ascii="Arial" w:cs="Arial" w:eastAsia="Arial" w:hAnsi="Arial"/>
          <w:b/>
          <w:bCs/>
          <w:color w:val="1B2118"/>
          <w:sz w:val="21"/>
          <w:szCs w:val="21"/>
        </w:rPr>
        <w:t xml:space="preserve">prezzo di riferimento</w:t>
      </w:r>
      <w:r>
        <w:rPr>
          <w:rFonts w:ascii="Arial" w:cs="Arial" w:eastAsia="Arial" w:hAnsi="Arial"/>
          <w:color w:val="1B2118"/>
          <w:sz w:val="21"/>
          <w:szCs w:val="21"/>
        </w:rPr>
        <w:t xml:space="preserve"> (Impostazioni); le righe non si sommano, perché i crediti emessi provengono dai calcoli.</w:t>
      </w:r>
    </w:p>
    <w:p>
      <w:pPr>
        <w:spacing w:after="140" w:line="300"/>
      </w:pPr>
      <w:r>
        <w:rPr>
          <w:rFonts w:ascii="Arial" w:cs="Arial" w:eastAsia="Arial" w:hAnsi="Arial"/>
          <w:color w:val="1B2118"/>
          <w:sz w:val="21"/>
          <w:szCs w:val="21"/>
        </w:rPr>
        <w:t xml:space="preserve">Gli utenti dei Comuni vedono gli stessi riquadri nella loro pagina </w:t>
      </w:r>
      <w:r>
        <w:rPr>
          <w:rFonts w:ascii="Arial" w:cs="Arial" w:eastAsia="Arial" w:hAnsi="Arial"/>
          <w:b/>
          <w:bCs/>
          <w:color w:val="1B2118"/>
          <w:sz w:val="21"/>
          <w:szCs w:val="21"/>
        </w:rPr>
        <w:t xml:space="preserve">Le mie pratiche</w:t>
      </w:r>
      <w:r>
        <w:rPr>
          <w:rFonts w:ascii="Arial" w:cs="Arial" w:eastAsia="Arial" w:hAnsi="Arial"/>
          <w:color w:val="1B2118"/>
          <w:sz w:val="21"/>
          <w:szCs w:val="21"/>
        </w:rPr>
        <w:t xml:space="preserve">, ma solo con i dati della propria organizzazione (scenari collegati alla loro organizzazione, loro calcoli, lotti e vendite). Gli scenari fatti per un Comune scritto solo per nome, senza organizzazione collegata, contano solo per lo staff.</w:t>
      </w:r>
    </w:p>
    <w:p>
      <w:pPr>
        <w:spacing w:after="140" w:line="300"/>
      </w:pPr>
      <w:r>
        <w:rPr>
          <w:rFonts w:ascii="Arial" w:cs="Arial" w:eastAsia="Arial" w:hAnsi="Arial"/>
          <w:b/>
          <w:bCs/>
          <w:color w:val="1B2118"/>
          <w:sz w:val="21"/>
          <w:szCs w:val="21"/>
        </w:rPr>
        <w:t xml:space="preserve">Riquadri delle pratiche.</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7"/>
        <w:gridCol w:w="6961"/>
      </w:tblGrid>
      <w:tr>
        <w:trPr>
          <w:tblHeader/>
        </w:trPr>
        <w:tc>
          <w:tcPr>
            <w:tcW w:type="dxa" w:w="26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96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scadenza</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una data di scadenza (numero in arancione): sono pratiche </w:t>
            </w:r>
            <w:r>
              <w:rPr>
                <w:rFonts w:ascii="Arial" w:cs="Arial" w:eastAsia="Arial" w:hAnsi="Arial"/>
                <w:b/>
                <w:bCs/>
                <w:color w:val="1B2118"/>
                <w:sz w:val="18"/>
                <w:szCs w:val="18"/>
              </w:rPr>
              <w:t xml:space="preserve">senza scadenza nota</w:t>
            </w:r>
            <w:r>
              <w:rPr>
                <w:rFonts w:ascii="Arial" w:cs="Arial" w:eastAsia="Arial" w:hAnsi="Arial"/>
                <w:color w:val="1B2118"/>
                <w:sz w:val="18"/>
                <w:szCs w:val="18"/>
              </w:rPr>
              <w:t xml:space="preserve">, non pratiche in regola. Lo zero di «In scadenza» e «Scadute» vale solo per le pratiche con una data. Nella colonna Scadenza compare «nessuna scadenza nota»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Un codice scritto a mano si salva così com'è; se non segue il formato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(es. minuscole o tre cifre) compare un avviso arancione. La regola sul formato dei codici scritti a mano è in attesa della Fondazione.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Ente prima della fase 5.</w:t>
      </w:r>
      <w:r>
        <w:rPr>
          <w:rFonts w:ascii="Arial" w:cs="Arial" w:eastAsia="Arial" w:hAnsi="Arial"/>
          <w:color w:val="1B2118"/>
          <w:sz w:val="21"/>
          <w:szCs w:val="21"/>
        </w:rPr>
        <w:t xml:space="preserve"> La fase 5 si apre solo se la pratica ha un ente di validazione e verifica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assegnato (Guida 6.2.3: la validazione la svolge l'ente incaricato). Senza ente, al posto di </w:t>
      </w:r>
      <w:r>
        <w:rPr>
          <w:rFonts w:ascii="Arial" w:cs="Arial" w:eastAsia="Arial" w:hAnsi="Arial"/>
          <w:b/>
          <w:bCs/>
          <w:color w:val="1B2118"/>
          <w:sz w:val="21"/>
          <w:szCs w:val="21"/>
        </w:rPr>
        <w:t xml:space="preserve">Apri fase</w:t>
      </w:r>
      <w:r>
        <w:rPr>
          <w:rFonts w:ascii="Arial" w:cs="Arial" w:eastAsia="Arial" w:hAnsi="Arial"/>
          <w:color w:val="1B2118"/>
          <w:sz w:val="21"/>
          <w:szCs w:val="21"/>
        </w:rPr>
        <w:t xml:space="preserve"> compare «Per aprire la fase 5 assegna prima l'ente di validazione e verifica». Con la fase 5 aperta l'ente si può sostituire ma non togliere.</w:t>
      </w:r>
    </w:p>
    <w:p>
      <w:pPr>
        <w:spacing w:after="140" w:line="300"/>
      </w:pPr>
      <w:r>
        <w:rPr>
          <w:rFonts w:ascii="Arial" w:cs="Arial" w:eastAsia="Arial" w:hAnsi="Arial"/>
          <w:b/>
          <w:bCs/>
          <w:color w:val="1B2118"/>
          <w:sz w:val="21"/>
          <w:szCs w:val="21"/>
        </w:rPr>
        <w:t xml:space="preserve">Fase 3 e feedback pubblico.</w:t>
      </w:r>
      <w:r>
        <w:rPr>
          <w:rFonts w:ascii="Arial" w:cs="Arial" w:eastAsia="Arial" w:hAnsi="Arial"/>
          <w:color w:val="1B2118"/>
          <w:sz w:val="21"/>
          <w:szCs w:val="21"/>
        </w:rPr>
        <w:t xml:space="preserve"> La fase 3 è il feedback pubblico: si apre da sola quando aprite il feedback e la sua scadenza è l'ultimo giorno del feedback. Si chiude solo dal giorno dopo il termine, insieme al feedback (capitolo «Feedback pubblico»).</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Il periodo comprende l'ultimo giorno indicato (ora italiana). Fino a quel giorno il riquadro mostra «Il feedback resta aperto fino al … compreso: si chiude dal giorno successivo» e non c'è un pulsante di chiusura. Dal giorno dopo il portale non accetta più osservazioni e lo stato si chiude con </w:t>
      </w:r>
      <w:r>
        <w:rPr>
          <w:rFonts w:ascii="Arial" w:cs="Arial" w:eastAsia="Arial" w:hAnsi="Arial"/>
          <w:b/>
          <w:bCs/>
          <w:color w:val="1B2118"/>
          <w:sz w:val="21"/>
          <w:szCs w:val="21"/>
        </w:rPr>
        <w:t xml:space="preserve">Chiudi il feedback pubblico e la fase 3</w:t>
      </w:r>
      <w:r>
        <w:rPr>
          <w:rFonts w:ascii="Arial" w:cs="Arial" w:eastAsia="Arial" w:hAnsi="Arial"/>
          <w:color w:val="1B2118"/>
          <w:sz w:val="21"/>
          <w:szCs w:val="21"/>
        </w:rPr>
        <w:t xml:space="preserve">: feedback e fase 3 si chiudono insieme. Anche </w:t>
      </w:r>
      <w:r>
        <w:rPr>
          <w:rFonts w:ascii="Arial" w:cs="Arial" w:eastAsia="Arial" w:hAnsi="Arial"/>
          <w:b/>
          <w:bCs/>
          <w:color w:val="1B2118"/>
          <w:sz w:val="21"/>
          <w:szCs w:val="21"/>
        </w:rPr>
        <w:t xml:space="preserve">Chiudi fase</w:t>
      </w:r>
      <w:r>
        <w:rPr>
          <w:rFonts w:ascii="Arial" w:cs="Arial" w:eastAsia="Arial" w:hAnsi="Arial"/>
          <w:color w:val="1B2118"/>
          <w:sz w:val="21"/>
          <w:szCs w:val="21"/>
        </w:rPr>
        <w:t xml:space="preserve"> sulla fase 3 è rifiutato prima del termine e, dopo il termine, chiude il feedback.</w:t>
      </w:r>
    </w:p>
    <w:p>
      <w:pPr>
        <w:spacing w:after="140" w:line="300"/>
      </w:pPr>
      <w:r>
        <w:rPr>
          <w:rFonts w:ascii="Arial" w:cs="Arial" w:eastAsia="Arial" w:hAnsi="Arial"/>
          <w:b/>
          <w:bCs/>
          <w:color w:val="1B2118"/>
          <w:sz w:val="21"/>
          <w:szCs w:val="21"/>
        </w:rPr>
        <w:t xml:space="preserve">Chiusura anticipata.</w:t>
      </w:r>
      <w:r>
        <w:rPr>
          <w:rFonts w:ascii="Arial" w:cs="Arial" w:eastAsia="Arial" w:hAnsi="Arial"/>
          <w:color w:val="1B2118"/>
          <w:sz w:val="21"/>
          <w:szCs w:val="21"/>
        </w:rPr>
        <w:t xml:space="preserve"> È ammessa solo se la pratica è </w:t>
      </w:r>
      <w:r>
        <w:rPr>
          <w:rFonts w:ascii="Arial" w:cs="Arial" w:eastAsia="Arial" w:hAnsi="Arial"/>
          <w:b/>
          <w:bCs/>
          <w:color w:val="1B2118"/>
          <w:sz w:val="21"/>
          <w:szCs w:val="21"/>
        </w:rPr>
        <w:t xml:space="preserve">annullata, ritirata o chiusa</w:t>
      </w:r>
      <w:r>
        <w:rPr>
          <w:rFonts w:ascii="Arial" w:cs="Arial" w:eastAsia="Arial" w:hAnsi="Arial"/>
          <w:color w:val="1B2118"/>
          <w:sz w:val="21"/>
          <w:szCs w:val="21"/>
        </w:rPr>
        <w:t xml:space="preserve">. Compare </w:t>
      </w:r>
      <w:r>
        <w:rPr>
          <w:rFonts w:ascii="Arial" w:cs="Arial" w:eastAsia="Arial" w:hAnsi="Arial"/>
          <w:b/>
          <w:bCs/>
          <w:color w:val="1B2118"/>
          <w:sz w:val="21"/>
          <w:szCs w:val="21"/>
        </w:rPr>
        <w:t xml:space="preserve">Chiudi ora: pratica …</w:t>
      </w:r>
      <w:r>
        <w:rPr>
          <w:rFonts w:ascii="Arial" w:cs="Arial" w:eastAsia="Arial" w:hAnsi="Arial"/>
          <w:color w:val="1B2118"/>
          <w:sz w:val="21"/>
          <w:szCs w:val="21"/>
        </w:rPr>
        <w:t xml:space="preserve">, con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obbligatoria; la fase 3 resta com'è e la motivazione finisce nell'audit. Con la pratica attiva la chiusura prima del termine non è possibile (Guida 6.2.2). Con la fase 3 già completata non si apre un nuovo feedback.</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sette sezioni: Il Programma (pagina pubblica), metodologie approvate, prezzo di riferimento del credito,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Prezzo di riferimento del credito</w:t>
      </w:r>
    </w:p>
    <w:p>
      <w:pPr>
        <w:spacing w:after="140" w:line="300"/>
      </w:pPr>
      <w:r>
        <w:rPr>
          <w:rFonts w:ascii="Arial" w:cs="Arial" w:eastAsia="Arial" w:hAnsi="Arial"/>
          <w:color w:val="1B2118"/>
          <w:sz w:val="21"/>
          <w:szCs w:val="21"/>
        </w:rPr>
        <w:t xml:space="preserve">Il prezzo in euro (iniziale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credito, come il valore proposto dal Simulatore) con cui la Dashboard dà un valore ai crediti calcolati ed emessi e agli scenari salvati senza valore del credito. Scrivete il nuovo prezzo (0-10.000 €, decimali con la virgola)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la modifica finisce nell'Audit («modifica prezzo di riferimento del credito»). Le vendite usano sempre il valore comunicato dal registro.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Il tracciato (passo 5b)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(la Banca Dati Utenze per utenza del passo 5a, descritta più avanti, contiene invece nomi e indirizzi, con le protezioni indicate lì):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Banca Dati Utenze per utenza (passo 5a)</w:t>
      </w:r>
    </w:p>
    <w:p>
      <w:pPr>
        <w:spacing w:after="140" w:line="300"/>
      </w:pPr>
      <w:r>
        <w:rPr>
          <w:rFonts w:ascii="Arial" w:cs="Arial" w:eastAsia="Arial" w:hAnsi="Arial"/>
          <w:color w:val="1B2118"/>
          <w:sz w:val="21"/>
          <w:szCs w:val="21"/>
        </w:rPr>
        <w:t xml:space="preserve">Il calcolo dei crediti usa un formato </w:t>
      </w:r>
      <w:r>
        <w:rPr>
          <w:rFonts w:ascii="Arial" w:cs="Arial" w:eastAsia="Arial" w:hAnsi="Arial"/>
          <w:b/>
          <w:bCs/>
          <w:color w:val="1B2118"/>
          <w:sz w:val="21"/>
          <w:szCs w:val="21"/>
        </w:rPr>
        <w:t xml:space="preserve">per utenza</w:t>
      </w:r>
      <w:r>
        <w:rPr>
          <w:rFonts w:ascii="Arial" w:cs="Arial" w:eastAsia="Arial" w:hAnsi="Arial"/>
          <w:color w:val="1B2118"/>
          <w:sz w:val="21"/>
          <w:szCs w:val="21"/>
        </w:rPr>
        <w:t xml:space="preserve">: ogni anno il Comune o il gestore compila il modello </w:t>
      </w:r>
      <w:r>
        <w:rPr>
          <w:rFonts w:ascii="Arial" w:cs="Arial" w:eastAsia="Arial" w:hAnsi="Arial"/>
          <w:b/>
          <w:bCs/>
          <w:color w:val="1B2118"/>
          <w:sz w:val="21"/>
          <w:szCs w:val="21"/>
        </w:rPr>
        <w:t xml:space="preserve">Banca dati utenze CWP</w:t>
      </w:r>
      <w:r>
        <w:rPr>
          <w:rFonts w:ascii="Arial" w:cs="Arial" w:eastAsia="Arial" w:hAnsi="Arial"/>
          <w:color w:val="1B2118"/>
          <w:sz w:val="21"/>
          <w:szCs w:val="21"/>
        </w:rPr>
        <w:t xml:space="preserve"> con l'elenco </w:t>
      </w:r>
      <w:r>
        <w:rPr>
          <w:rFonts w:ascii="Arial" w:cs="Arial" w:eastAsia="Arial" w:hAnsi="Arial"/>
          <w:b/>
          <w:bCs/>
          <w:color w:val="1B2118"/>
          <w:sz w:val="21"/>
          <w:szCs w:val="21"/>
        </w:rPr>
        <w:t xml:space="preserve">completo</w:t>
      </w:r>
      <w:r>
        <w:rPr>
          <w:rFonts w:ascii="Arial" w:cs="Arial" w:eastAsia="Arial" w:hAnsi="Arial"/>
          <w:color w:val="1B2118"/>
          <w:sz w:val="21"/>
          <w:szCs w:val="21"/>
        </w:rPr>
        <w:t xml:space="preserve"> delle utenze dell'anno, domestiche e non domestiche, e lo carica nel calcolo di quell'anno. Nessun dato si riprende dall'anno precedente, perché le utenze cambiano di continuo.</w:t>
      </w:r>
    </w:p>
    <w:p>
      <w:pPr>
        <w:spacing w:after="140" w:line="300"/>
      </w:pPr>
      <w:r>
        <w:rPr>
          <w:rFonts w:ascii="Arial" w:cs="Arial" w:eastAsia="Arial" w:hAnsi="Arial"/>
          <w:b/>
          <w:bCs/>
          <w:color w:val="1B2118"/>
          <w:sz w:val="21"/>
          <w:szCs w:val="21"/>
        </w:rPr>
        <w:t xml:space="preserve">Foglio Utenze_domestiche</w:t>
      </w:r>
      <w:r>
        <w:rPr>
          <w:rFonts w:ascii="Arial" w:cs="Arial" w:eastAsia="Arial" w:hAnsi="Arial"/>
          <w:color w:val="1B2118"/>
          <w:sz w:val="21"/>
          <w:szCs w:val="21"/>
        </w:rPr>
        <w:t xml:space="preserve"> — una riga per ogni utenza domestica attiva nell'anno.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9"/>
        <w:gridCol w:w="1760"/>
        <w:gridCol w:w="3939"/>
      </w:tblGrid>
      <w:tr>
        <w:trPr>
          <w:tblHeader/>
        </w:trPr>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utenza</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dell'utenza nel sistema del Comune o del gestore (es. codice TARI); unico nel file</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capofamiglia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 cognome dell'intestatario</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Via, numero civico ed eventuale interno</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Classe della quota variabile nella delibera TARI (di solito il numero di componenti: 1, 2, … 6 e oltre). Se presente, il portale la propone come </w:t>
            </w:r>
            <w:r>
              <w:rPr>
                <w:rFonts w:ascii="Arial" w:cs="Arial" w:eastAsia="Arial" w:hAnsi="Arial"/>
                <w:b/>
                <w:bCs/>
                <w:color w:val="1B2118"/>
                <w:sz w:val="18"/>
                <w:szCs w:val="18"/>
              </w:rPr>
              <w:t xml:space="preserve">categoria di simulazione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Componenti del nucleo familiare: colloca l'utenza nella classe della delibera (Kb); se manca si usano i valori medi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abitazione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dell'abitazione in m²</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totale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prodotti nell'anno, somma di tutte le frazioni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Indifferenziato (kg)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residuo dell'anno, anche 0</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Organico, Carta e cartone, Plastica, Vetro, Metallo, Verde, Legno, Tessili, RAEE, Ingombranti, Inerti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Kg di ciascuna frazione nell'anno; vuoto = frazione non raccolta o non misurata (vuoto è diverso da 0)</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Svuotamenti (una colonna per frazione)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svuotamenti o conferimenti della frazione nell'anno, intero</w:t>
            </w:r>
          </w:p>
        </w:tc>
      </w:tr>
    </w:tbl>
    <w:p>
      <w:pPr>
        <w:spacing w:after="160"/>
      </w:pPr>
    </w:p>
    <w:p>
      <w:pPr>
        <w:spacing w:after="140" w:line="300"/>
      </w:pPr>
      <w:r>
        <w:rPr>
          <w:rFonts w:ascii="Arial" w:cs="Arial" w:eastAsia="Arial" w:hAnsi="Arial"/>
          <w:b/>
          <w:bCs/>
          <w:color w:val="1B2118"/>
          <w:sz w:val="21"/>
          <w:szCs w:val="21"/>
        </w:rPr>
        <w:t xml:space="preserve">Foglio Utenze_non_domestiche</w:t>
      </w:r>
      <w:r>
        <w:rPr>
          <w:rFonts w:ascii="Arial" w:cs="Arial" w:eastAsia="Arial" w:hAnsi="Arial"/>
          <w:color w:val="1B2118"/>
          <w:sz w:val="21"/>
          <w:szCs w:val="21"/>
        </w:rPr>
        <w:t xml:space="preserve"> — una riga per ogni attività, ente o ufficio. Stesse colonne, con queste differenze: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8"/>
        <w:gridCol w:w="1945"/>
        <w:gridCol w:w="5985"/>
      </w:tblGrid>
      <w:tr>
        <w:trPr>
          <w:tblHeader/>
        </w:trPr>
        <w:tc>
          <w:tcPr>
            <w:tcW w:type="dxa" w:w="17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5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Ragione sociale</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posto del nome del capofamiglia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 ma da compilare se nota</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della categoria della delibera TARI (DPR 158/1999, es. 22 = ristoranti; il foglio Categorie ha l'elenco di riferimento). Se presente, il portale la propone come </w:t>
            </w:r>
            <w:r>
              <w:rPr>
                <w:rFonts w:ascii="Arial" w:cs="Arial" w:eastAsia="Arial" w:hAnsi="Arial"/>
                <w:b/>
                <w:bCs/>
                <w:color w:val="1B2118"/>
                <w:sz w:val="18"/>
                <w:szCs w:val="18"/>
              </w:rPr>
              <w:t xml:space="preserve">categoria di simulazione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locali</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tassata dei locali in m² (al posto dei mq dell'abitazione); se manca si usano i valori medi della categoria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c'è: vale solo per le domestiche</w:t>
            </w:r>
          </w:p>
        </w:tc>
      </w:tr>
    </w:tbl>
    <w:p>
      <w:pPr>
        <w:spacing w:after="160"/>
      </w:pPr>
    </w:p>
    <w:p>
      <w:pPr>
        <w:spacing w:after="140" w:line="300"/>
      </w:pP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Non è nel file: è un campo del portale, per ogni utenza, che dice quale classe o categoria usa il calcolo per i rifiuti attesi. All'arrivo del file il portale la propone uguale alla categoria tariffaria; la Fondazione può cambiarla dal modulo dell'utenza. Le utenze senza categoria tariffaria restano «da assegnare» finché non la si indica.</w:t>
      </w:r>
    </w:p>
    <w:p>
      <w:pPr>
        <w:spacing w:after="140" w:line="300"/>
      </w:pPr>
      <w:r>
        <w:rPr>
          <w:rFonts w:ascii="Arial" w:cs="Arial" w:eastAsia="Arial" w:hAnsi="Arial"/>
          <w:b/>
          <w:bCs/>
          <w:color w:val="1B2118"/>
          <w:sz w:val="21"/>
          <w:szCs w:val="21"/>
        </w:rPr>
        <w:t xml:space="preserve">Regole.</w:t>
      </w:r>
    </w:p>
    <w:p>
      <w:pPr>
        <w:pStyle w:val="ListParagraph"/>
        <w:numPr>
          <w:ilvl w:val="0"/>
          <w:numId w:val="2"/>
        </w:numPr>
        <w:spacing w:after="70" w:line="290"/>
      </w:pPr>
      <w:r>
        <w:rPr>
          <w:rFonts w:ascii="Arial" w:cs="Arial" w:eastAsia="Arial" w:hAnsi="Arial"/>
          <w:color w:val="1B2118"/>
          <w:sz w:val="21"/>
          <w:szCs w:val="21"/>
        </w:rPr>
        <w:t xml:space="preserve">Ogni anno si carica l'</w:t>
      </w:r>
      <w:r>
        <w:rPr>
          <w:rFonts w:ascii="Arial" w:cs="Arial" w:eastAsia="Arial" w:hAnsi="Arial"/>
          <w:b/>
          <w:bCs/>
          <w:color w:val="1B2118"/>
          <w:sz w:val="21"/>
          <w:szCs w:val="21"/>
        </w:rPr>
        <w:t xml:space="preserve">elenco completo</w:t>
      </w:r>
      <w:r>
        <w:rPr>
          <w:rFonts w:ascii="Arial" w:cs="Arial" w:eastAsia="Arial" w:hAnsi="Arial"/>
          <w:color w:val="1B2118"/>
          <w:sz w:val="21"/>
          <w:szCs w:val="21"/>
        </w:rPr>
        <w:t xml:space="preserve"> delle utenze, domestiche e non domestiche: le utenze cambiano di continuo e nessun dato si riprende dall'anno prima.</w:t>
      </w:r>
    </w:p>
    <w:p>
      <w:pPr>
        <w:pStyle w:val="ListParagraph"/>
        <w:numPr>
          <w:ilvl w:val="0"/>
          <w:numId w:val="2"/>
        </w:numPr>
        <w:spacing w:after="70" w:line="290"/>
      </w:pPr>
      <w:r>
        <w:rPr>
          <w:rFonts w:ascii="Arial" w:cs="Arial" w:eastAsia="Arial" w:hAnsi="Arial"/>
          <w:color w:val="1B2118"/>
          <w:sz w:val="21"/>
          <w:szCs w:val="21"/>
        </w:rPr>
        <w:t xml:space="preserve">Numeri senza unità di misura; decimali con la virgola.</w:t>
      </w:r>
    </w:p>
    <w:p>
      <w:pPr>
        <w:pStyle w:val="ListParagraph"/>
        <w:numPr>
          <w:ilvl w:val="0"/>
          <w:numId w:val="2"/>
        </w:numPr>
        <w:spacing w:after="70" w:line="290"/>
      </w:pPr>
      <w:r>
        <w:rPr>
          <w:rFonts w:ascii="Arial" w:cs="Arial" w:eastAsia="Arial" w:hAnsi="Arial"/>
          <w:color w:val="1B2118"/>
          <w:sz w:val="21"/>
          <w:szCs w:val="21"/>
        </w:rPr>
        <w:t xml:space="preserve">La produzione totale deve corrispondere alla somma delle frazioni: il portale segnala le differenze oltre l'1%.</w:t>
      </w:r>
    </w:p>
    <w:p>
      <w:pPr>
        <w:pStyle w:val="ListParagraph"/>
        <w:numPr>
          <w:ilvl w:val="0"/>
          <w:numId w:val="2"/>
        </w:numPr>
        <w:spacing w:after="70" w:line="290"/>
      </w:pPr>
      <w:r>
        <w:rPr>
          <w:rFonts w:ascii="Arial" w:cs="Arial" w:eastAsia="Arial" w:hAnsi="Arial"/>
          <w:color w:val="1B2118"/>
          <w:sz w:val="21"/>
          <w:szCs w:val="21"/>
        </w:rPr>
        <w:t xml:space="preserve">Oltre 1 milione di righe o 50 MB: un CSV per foglio, con lo stesso nome, dentro uno ZIP.</w:t>
      </w:r>
    </w:p>
    <w:p>
      <w:pPr>
        <w:spacing w:after="140" w:line="30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Questo modello contiene nomi e indirizzi, a differenza del tracciato attuale. Nel portale li vedono solo Operatori e Amministratori. Ogni consultazione dell'elenco finisce nell'Audit («consultazione utenze»), così come ogni caricamento («caricamento utenze», con il solo numero di utenze) e ogni cancellazione. Nomi e indirizzi non compaiono nei rapporti di calcolo, nei fascicoli né nelle pagine pubbliche. Prima dell'uso con dati reali servono la valutazione d'impatto (DPIA) e l'accordo sul trattamento con ogni Comune.</w:t>
      </w:r>
    </w:p>
    <w:p>
      <w:pPr>
        <w:spacing w:after="140" w:line="300"/>
      </w:pPr>
      <w:r>
        <w:rPr>
          <w:rFonts w:ascii="Arial" w:cs="Arial" w:eastAsia="Arial" w:hAnsi="Arial"/>
          <w:b/>
          <w:bCs/>
          <w:color w:val="1B2118"/>
          <w:sz w:val="21"/>
          <w:szCs w:val="21"/>
        </w:rPr>
        <w:t xml:space="preserve">Gestire le utenze nel portale.</w:t>
      </w:r>
      <w:r>
        <w:rPr>
          <w:rFonts w:ascii="Arial" w:cs="Arial" w:eastAsia="Arial" w:hAnsi="Arial"/>
          <w:color w:val="1B2118"/>
          <w:sz w:val="21"/>
          <w:szCs w:val="21"/>
        </w:rPr>
        <w:t xml:space="preserve"> Nel calcolo aprite il passo </w:t>
      </w:r>
      <w:r>
        <w:rPr>
          <w:rFonts w:ascii="Arial" w:cs="Arial" w:eastAsia="Arial" w:hAnsi="Arial"/>
          <w:b/>
          <w:bCs/>
          <w:color w:val="1B2118"/>
          <w:sz w:val="21"/>
          <w:szCs w:val="21"/>
        </w:rPr>
        <w:t xml:space="preserve">5a. Utenze del calcolo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In alto tre riquadri: utenze domestiche, non domestiche 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(arancione se ce ne sono).</w:t>
      </w:r>
    </w:p>
    <w:p>
      <w:pPr>
        <w:pStyle w:val="ListParagraph"/>
        <w:numPr>
          <w:ilvl w:val="0"/>
          <w:numId w:val="29"/>
        </w:numPr>
        <w:spacing w:after="70" w:line="290"/>
      </w:pPr>
      <w:r>
        <w:rPr>
          <w:rFonts w:ascii="Arial" w:cs="Arial" w:eastAsia="Arial" w:hAnsi="Arial"/>
          <w:b/>
          <w:bCs/>
          <w:color w:val="1B2118"/>
          <w:sz w:val="21"/>
          <w:szCs w:val="21"/>
        </w:rPr>
        <w:t xml:space="preserve">Carica il file dell'anno</w:t>
      </w:r>
      <w:r>
        <w:rPr>
          <w:rFonts w:ascii="Arial" w:cs="Arial" w:eastAsia="Arial" w:hAnsi="Arial"/>
          <w:color w:val="1B2118"/>
          <w:sz w:val="21"/>
          <w:szCs w:val="21"/>
        </w:rPr>
        <w:t xml:space="preserve"> e scegliete il file compilato (Excel, oppure ZIP di CSV). Il portale mostra l'anteprima: numero di utenze, eventuali </w:t>
      </w:r>
      <w:r>
        <w:rPr>
          <w:rFonts w:ascii="Arial" w:cs="Arial" w:eastAsia="Arial" w:hAnsi="Arial"/>
          <w:b/>
          <w:bCs/>
          <w:color w:val="1B2118"/>
          <w:sz w:val="21"/>
          <w:szCs w:val="21"/>
        </w:rPr>
        <w:t xml:space="preserve">errori</w:t>
      </w:r>
      <w:r>
        <w:rPr>
          <w:rFonts w:ascii="Arial" w:cs="Arial" w:eastAsia="Arial" w:hAnsi="Arial"/>
          <w:color w:val="1B2118"/>
          <w:sz w:val="21"/>
          <w:szCs w:val="21"/>
        </w:rPr>
        <w:t xml:space="preserve"> (foglio, riga e codice; con un errore il file non si carica e l'elenco attuale non cambia) e </w:t>
      </w:r>
      <w:r>
        <w:rPr>
          <w:rFonts w:ascii="Arial" w:cs="Arial" w:eastAsia="Arial" w:hAnsi="Arial"/>
          <w:b/>
          <w:bCs/>
          <w:color w:val="1B2118"/>
          <w:sz w:val="21"/>
          <w:szCs w:val="21"/>
        </w:rPr>
        <w:t xml:space="preserve">avvisi</w:t>
      </w:r>
      <w:r>
        <w:rPr>
          <w:rFonts w:ascii="Arial" w:cs="Arial" w:eastAsia="Arial" w:hAnsi="Arial"/>
          <w:color w:val="1B2118"/>
          <w:sz w:val="21"/>
          <w:szCs w:val="21"/>
        </w:rPr>
        <w:t xml:space="preserve"> (produzione totale diversa dalla somma delle frazioni, utenze senza categoria). Premete </w:t>
      </w:r>
      <w:r>
        <w:rPr>
          <w:rFonts w:ascii="Arial" w:cs="Arial" w:eastAsia="Arial" w:hAnsi="Arial"/>
          <w:b/>
          <w:bCs/>
          <w:color w:val="1B2118"/>
          <w:sz w:val="21"/>
          <w:szCs w:val="21"/>
        </w:rPr>
        <w:t xml:space="preserve">Sostituisci l'elenco</w:t>
      </w:r>
      <w:r>
        <w:rPr>
          <w:rFonts w:ascii="Arial" w:cs="Arial" w:eastAsia="Arial" w:hAnsi="Arial"/>
          <w:color w:val="1B2118"/>
          <w:sz w:val="21"/>
          <w:szCs w:val="21"/>
        </w:rPr>
        <w:t xml:space="preserve">: le utenze precedenti del calcolo sono tolte e sostituite da quelle del file.</w:t>
      </w:r>
    </w:p>
    <w:p>
      <w:pPr>
        <w:pStyle w:val="ListParagraph"/>
        <w:numPr>
          <w:ilvl w:val="0"/>
          <w:numId w:val="29"/>
        </w:numPr>
        <w:spacing w:after="70" w:line="290"/>
      </w:pPr>
      <w:r>
        <w:rPr>
          <w:rFonts w:ascii="Arial" w:cs="Arial" w:eastAsia="Arial" w:hAnsi="Arial"/>
          <w:color w:val="1B2118"/>
          <w:sz w:val="21"/>
          <w:szCs w:val="21"/>
        </w:rPr>
        <w:t xml:space="preserve">Le schede </w:t>
      </w:r>
      <w:r>
        <w:rPr>
          <w:rFonts w:ascii="Arial" w:cs="Arial" w:eastAsia="Arial" w:hAnsi="Arial"/>
          <w:b/>
          <w:bCs/>
          <w:color w:val="1B2118"/>
          <w:sz w:val="21"/>
          <w:szCs w:val="21"/>
        </w:rPr>
        <w:t xml:space="preserve">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Utenze non domestiche</w:t>
      </w:r>
      <w:r>
        <w:rPr>
          <w:rFonts w:ascii="Arial" w:cs="Arial" w:eastAsia="Arial" w:hAnsi="Arial"/>
          <w:color w:val="1B2118"/>
          <w:sz w:val="21"/>
          <w:szCs w:val="21"/>
        </w:rPr>
        <w:t xml:space="preserve"> mostrano l'elenco, 50 per pagina, con codice, nome o ragione sociale, indirizzo, categoria tariffaria e di simulazione («da assegnare» se manca), componenti o mq, produzione totale (con «≠ somma» se non corrisponde alle frazioni), indifferenziato e percentuale di differenziata.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trova per codice, nome, indirizzo o categoria.</w:t>
      </w:r>
    </w:p>
    <w:p>
      <w:pPr>
        <w:pStyle w:val="ListParagraph"/>
        <w:numPr>
          <w:ilvl w:val="0"/>
          <w:numId w:val="29"/>
        </w:numPr>
        <w:spacing w:after="70" w:line="290"/>
      </w:pPr>
      <w:r>
        <w:rPr>
          <w:rFonts w:ascii="Arial" w:cs="Arial" w:eastAsia="Arial" w:hAnsi="Arial"/>
          <w:color w:val="1B2118"/>
          <w:sz w:val="21"/>
          <w:szCs w:val="21"/>
        </w:rPr>
        <w:t xml:space="preserve">Toccate il </w:t>
      </w:r>
      <w:r>
        <w:rPr>
          <w:rFonts w:ascii="Arial" w:cs="Arial" w:eastAsia="Arial" w:hAnsi="Arial"/>
          <w:b/>
          <w:bCs/>
          <w:color w:val="1B2118"/>
          <w:sz w:val="21"/>
          <w:szCs w:val="21"/>
        </w:rPr>
        <w:t xml:space="preserve">codice</w:t>
      </w:r>
      <w:r>
        <w:rPr>
          <w:rFonts w:ascii="Arial" w:cs="Arial" w:eastAsia="Arial" w:hAnsi="Arial"/>
          <w:color w:val="1B2118"/>
          <w:sz w:val="21"/>
          <w:szCs w:val="21"/>
        </w:rPr>
        <w:t xml:space="preserve"> di un'utenza per aprire il suo modulo: tutti i campi, le frazioni con kg e svuotamenti, gli errori e gli avvisi in fondo. La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segue la tariffaria finché non la cambiate a mano. Il pulsante </w:t>
      </w:r>
      <w:r>
        <w:rPr>
          <w:rFonts w:ascii="Arial" w:cs="Arial" w:eastAsia="Arial" w:hAnsi="Arial"/>
          <w:b/>
          <w:bCs/>
          <w:color w:val="1B2118"/>
          <w:sz w:val="21"/>
          <w:szCs w:val="21"/>
        </w:rPr>
        <w:t xml:space="preserve">= somma delle frazioni</w:t>
      </w:r>
      <w:r>
        <w:rPr>
          <w:rFonts w:ascii="Arial" w:cs="Arial" w:eastAsia="Arial" w:hAnsi="Arial"/>
          <w:color w:val="1B2118"/>
          <w:sz w:val="21"/>
          <w:szCs w:val="21"/>
        </w:rPr>
        <w:t xml:space="preserve"> riporta la produzione totale alla somma.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Elimina utenza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b/>
          <w:bCs/>
          <w:color w:val="1B2118"/>
          <w:sz w:val="21"/>
          <w:szCs w:val="21"/>
        </w:rPr>
        <w:t xml:space="preserve">+ Nuova utenza domestica / non domestica</w:t>
      </w:r>
      <w:r>
        <w:rPr>
          <w:rFonts w:ascii="Arial" w:cs="Arial" w:eastAsia="Arial" w:hAnsi="Arial"/>
          <w:color w:val="1B2118"/>
          <w:sz w:val="21"/>
          <w:szCs w:val="21"/>
        </w:rPr>
        <w:t xml:space="preserve"> apre lo stesso modulo vuoto. </w:t>
      </w:r>
      <w:r>
        <w:rPr>
          <w:rFonts w:ascii="Arial" w:cs="Arial" w:eastAsia="Arial" w:hAnsi="Arial"/>
          <w:b/>
          <w:bCs/>
          <w:color w:val="1B2118"/>
          <w:sz w:val="21"/>
          <w:szCs w:val="21"/>
        </w:rPr>
        <w:t xml:space="preserve">Svuota l'elenco</w:t>
      </w:r>
      <w:r>
        <w:rPr>
          <w:rFonts w:ascii="Arial" w:cs="Arial" w:eastAsia="Arial" w:hAnsi="Arial"/>
          <w:color w:val="1B2118"/>
          <w:sz w:val="21"/>
          <w:szCs w:val="21"/>
        </w:rPr>
        <w:t xml:space="preserve"> toglie tutte le utenze.</w:t>
      </w:r>
    </w:p>
    <w:p>
      <w:pPr>
        <w:spacing w:after="60"/>
      </w:pPr>
    </w:p>
    <w:p>
      <w:pPr>
        <w:spacing w:after="140" w:line="300"/>
      </w:pPr>
      <w:r>
        <w:rPr>
          <w:rFonts w:ascii="Arial" w:cs="Arial" w:eastAsia="Arial" w:hAnsi="Arial"/>
          <w:color w:val="1B2118"/>
          <w:sz w:val="21"/>
          <w:szCs w:val="21"/>
        </w:rPr>
        <w:t xml:space="preserve">Ogni modifica azzera il risultato della bozza (va premuto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In un calcolo confermato il passo è in sola lettura. Nell'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le operazioni compaiono come «caricamento utenze» (con il numero di utenze), «consultazione utenze» (con la ricerca), «inserimento», «modifica» e «cancellazione utenza» (con il codice e i campi cambiati), senza nomi né indirizzi.</w:t>
      </w:r>
    </w:p>
    <w:p>
      <w:pPr>
        <w:spacing w:after="140" w:line="300"/>
      </w:pPr>
      <w:r>
        <w:rPr>
          <w:rFonts w:ascii="Arial" w:cs="Arial" w:eastAsia="Arial" w:hAnsi="Arial"/>
          <w:b/>
          <w:bCs/>
          <w:color w:val="1B2118"/>
          <w:sz w:val="21"/>
          <w:szCs w:val="21"/>
        </w:rPr>
        <w:t xml:space="preserve">Calcolo di prova.</w:t>
      </w:r>
      <w:r>
        <w:rPr>
          <w:rFonts w:ascii="Arial" w:cs="Arial" w:eastAsia="Arial" w:hAnsi="Arial"/>
          <w:color w:val="1B2118"/>
          <w:sz w:val="21"/>
          <w:szCs w:val="21"/>
        </w:rPr>
        <w:t xml:space="preserve"> Dal 22/10/2026 c'è il calcolo «PROVA Banca Dati Utenze - dati casuali (non confermare)» sul Progetto CWP-2026-003, con 20 utenze domestiche e 20 non domestiche inventate (codici PROVA-…): serve a provare il passo 5a e si può eliminare quando non serve più.</w:t>
      </w:r>
    </w:p>
    <w:p>
      <w:pPr>
        <w:spacing w:after="140" w:line="300"/>
      </w:pPr>
      <w:r>
        <w:rPr>
          <w:rFonts w:ascii="Arial" w:cs="Arial" w:eastAsia="Arial" w:hAnsi="Arial"/>
          <w:b/>
          <w:bCs/>
          <w:color w:val="1B2118"/>
          <w:sz w:val="21"/>
          <w:szCs w:val="21"/>
        </w:rPr>
        <w:t xml:space="preserve">Come «Calcola» usa le utenze (dal 23/10/2026).</w:t>
      </w:r>
      <w:r>
        <w:rPr>
          <w:rFonts w:ascii="Arial" w:cs="Arial" w:eastAsia="Arial" w:hAnsi="Arial"/>
          <w:color w:val="1B2118"/>
          <w:sz w:val="21"/>
          <w:szCs w:val="21"/>
        </w:rPr>
        <w:t xml:space="preserve"> Se il calcolo ha utenze nel passo 5a, il motore usa quelle; i conferimenti del passo </w:t>
      </w:r>
      <w:r>
        <w:rPr>
          <w:rFonts w:ascii="Arial" w:cs="Arial" w:eastAsia="Arial" w:hAnsi="Arial"/>
          <w:b/>
          <w:bCs/>
          <w:color w:val="1B2118"/>
          <w:sz w:val="21"/>
          <w:szCs w:val="21"/>
        </w:rPr>
        <w:t xml:space="preserve">5b. Conferimenti (tracciato)</w:t>
      </w:r>
      <w:r>
        <w:rPr>
          <w:rFonts w:ascii="Arial" w:cs="Arial" w:eastAsia="Arial" w:hAnsi="Arial"/>
          <w:color w:val="1B2118"/>
          <w:sz w:val="21"/>
          <w:szCs w:val="21"/>
        </w:rPr>
        <w:t xml:space="preserve"> valgono solo per i calcoli senza utenze (il 5b lo ricorda con un riquadro arancione). I beni a riuso vengono sempre dal passo 5b.</w:t>
      </w:r>
    </w:p>
    <w:p>
      <w:pPr>
        <w:pStyle w:val="ListParagraph"/>
        <w:numPr>
          <w:ilvl w:val="0"/>
          <w:numId w:val="30"/>
        </w:numPr>
        <w:spacing w:after="70" w:line="290"/>
      </w:pPr>
      <w:r>
        <w:rPr>
          <w:rFonts w:ascii="Arial" w:cs="Arial" w:eastAsia="Arial" w:hAnsi="Arial"/>
          <w:color w:val="1B2118"/>
          <w:sz w:val="21"/>
          <w:szCs w:val="21"/>
        </w:rPr>
        <w:t xml:space="preserve">Ogni utenza va nella classe della </w:t>
      </w:r>
      <w:r>
        <w:rPr>
          <w:rFonts w:ascii="Arial" w:cs="Arial" w:eastAsia="Arial" w:hAnsi="Arial"/>
          <w:b/>
          <w:bCs/>
          <w:color w:val="1B2118"/>
          <w:sz w:val="21"/>
          <w:szCs w:val="21"/>
        </w:rPr>
        <w:t xml:space="preserve">delibera</w:t>
      </w:r>
      <w:r>
        <w:rPr>
          <w:rFonts w:ascii="Arial" w:cs="Arial" w:eastAsia="Arial" w:hAnsi="Arial"/>
          <w:color w:val="1B2118"/>
          <w:sz w:val="21"/>
          <w:szCs w:val="21"/>
        </w:rPr>
        <w:t xml:space="preserve"> (passo 3) indicata dalla sua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da lì prende i rifiuti attesi. Le categorie devono essere scritte come le classi della delibera (es. «2» e non «2 componenti»).</w:t>
      </w:r>
    </w:p>
    <w:p>
      <w:pPr>
        <w:pStyle w:val="ListParagraph"/>
        <w:numPr>
          <w:ilvl w:val="0"/>
          <w:numId w:val="30"/>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kg</w:t>
      </w:r>
      <w:r>
        <w:rPr>
          <w:rFonts w:ascii="Arial" w:cs="Arial" w:eastAsia="Arial" w:hAnsi="Arial"/>
          <w:color w:val="1B2118"/>
          <w:sz w:val="21"/>
          <w:szCs w:val="21"/>
        </w:rPr>
        <w:t xml:space="preserve"> di ogni frazione sono i rifiuti prodotti dall'utenza e si usano così come sono; gli svuotamenti sono solo informativi.</w:t>
      </w:r>
    </w:p>
    <w:p>
      <w:pPr>
        <w:pStyle w:val="ListParagraph"/>
        <w:numPr>
          <w:ilvl w:val="0"/>
          <w:numId w:val="30"/>
        </w:numPr>
        <w:spacing w:after="70" w:line="290"/>
      </w:pPr>
      <w:r>
        <w:rPr>
          <w:rFonts w:ascii="Arial" w:cs="Arial" w:eastAsia="Arial" w:hAnsi="Arial"/>
          <w:color w:val="1B2118"/>
          <w:sz w:val="21"/>
          <w:szCs w:val="21"/>
        </w:rPr>
        <w:t xml:space="preserve">Per ogni utenza contano solo le frazioni con un valore, anche 0. Una frazione lasciata vuota non entra nel calcolo di quell'utenza (né nei rifiuti attesi né in quelli prodotti).</w:t>
      </w:r>
    </w:p>
    <w:p>
      <w:pPr>
        <w:pStyle w:val="ListParagraph"/>
        <w:numPr>
          <w:ilvl w:val="0"/>
          <w:numId w:val="30"/>
        </w:numPr>
        <w:spacing w:after="70" w:line="290"/>
      </w:pPr>
      <w:r>
        <w:rPr>
          <w:rFonts w:ascii="Arial" w:cs="Arial" w:eastAsia="Arial" w:hAnsi="Arial"/>
          <w:color w:val="1B2118"/>
          <w:sz w:val="21"/>
          <w:szCs w:val="21"/>
        </w:rPr>
        <w:t xml:space="preserve">Le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o con una categoria che </w:t>
      </w:r>
      <w:r>
        <w:rPr>
          <w:rFonts w:ascii="Arial" w:cs="Arial" w:eastAsia="Arial" w:hAnsi="Arial"/>
          <w:b/>
          <w:bCs/>
          <w:color w:val="1B2118"/>
          <w:sz w:val="21"/>
          <w:szCs w:val="21"/>
        </w:rPr>
        <w:t xml:space="preserve">non è nella delibera</w:t>
      </w:r>
      <w:r>
        <w:rPr>
          <w:rFonts w:ascii="Arial" w:cs="Arial" w:eastAsia="Arial" w:hAnsi="Arial"/>
          <w:color w:val="1B2118"/>
          <w:sz w:val="21"/>
          <w:szCs w:val="21"/>
        </w:rPr>
        <w:t xml:space="preserve"> restano fuori dal calcolo.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(in fondo al passo 5a e nei Risultati) le segnalano in rosso, i Risultati dicono quante sono state escluse e il calcolo </w:t>
      </w:r>
      <w:r>
        <w:rPr>
          <w:rFonts w:ascii="Arial" w:cs="Arial" w:eastAsia="Arial" w:hAnsi="Arial"/>
          <w:b/>
          <w:bCs/>
          <w:color w:val="1B2118"/>
          <w:sz w:val="21"/>
          <w:szCs w:val="21"/>
        </w:rPr>
        <w:t xml:space="preserve">non si può confermare</w:t>
      </w:r>
      <w:r>
        <w:rPr>
          <w:rFonts w:ascii="Arial" w:cs="Arial" w:eastAsia="Arial" w:hAnsi="Arial"/>
          <w:color w:val="1B2118"/>
          <w:sz w:val="21"/>
          <w:szCs w:val="21"/>
        </w:rPr>
        <w:t xml:space="preserve"> finché non le correggete dal modulo dell'utenza (o non aggiungete la classe nel passo 3).</w:t>
      </w:r>
    </w:p>
    <w:p>
      <w:pPr>
        <w:pStyle w:val="ListParagraph"/>
        <w:numPr>
          <w:ilvl w:val="0"/>
          <w:numId w:val="30"/>
        </w:numPr>
        <w:spacing w:after="70" w:line="290"/>
      </w:pPr>
      <w:r>
        <w:rPr>
          <w:rFonts w:ascii="Arial" w:cs="Arial" w:eastAsia="Arial" w:hAnsi="Arial"/>
          <w:color w:val="1B2118"/>
          <w:sz w:val="21"/>
          <w:szCs w:val="21"/>
        </w:rPr>
        <w:t xml:space="preserve">Se cambiate le utenze dopo «Calcola», il risultato si azzera: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prima di confermare (il database rifiuta la conferma se le utenze non sono quelle usate dal calcolo).</w:t>
      </w:r>
    </w:p>
    <w:p>
      <w:pPr>
        <w:spacing w:after="60"/>
      </w:pPr>
    </w:p>
    <w:p>
      <w:pPr>
        <w:spacing w:after="140" w:line="300"/>
      </w:pPr>
      <w:r>
        <w:rPr>
          <w:rFonts w:ascii="Arial" w:cs="Arial" w:eastAsia="Arial" w:hAnsi="Arial"/>
          <w:color w:val="1B2118"/>
          <w:sz w:val="21"/>
          <w:szCs w:val="21"/>
        </w:rPr>
        <w:t xml:space="preserve">Nei </w:t>
      </w:r>
      <w:r>
        <w:rPr>
          <w:rFonts w:ascii="Arial" w:cs="Arial" w:eastAsia="Arial" w:hAnsi="Arial"/>
          <w:b/>
          <w:bCs/>
          <w:color w:val="1B2118"/>
          <w:sz w:val="21"/>
          <w:szCs w:val="21"/>
        </w:rPr>
        <w:t xml:space="preserve">Risultati</w:t>
      </w:r>
      <w:r>
        <w:rPr>
          <w:rFonts w:ascii="Arial" w:cs="Arial" w:eastAsia="Arial" w:hAnsi="Arial"/>
          <w:color w:val="1B2118"/>
          <w:sz w:val="21"/>
          <w:szCs w:val="21"/>
        </w:rPr>
        <w:t xml:space="preserve"> una riga indica la Banca Dati usata («utenze del passo 5a» o «conferimenti del tracciato»); lo stesso compare nel CSV di riepilogo e nel rapporto PDF. Il dettaglio per utenza contiene solo i codici, non nomi né indirizzi.</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31"/>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2"/>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con tutte le frazioni a recupero che hanno quantità e fattore. Nei risultati e nel rapporto PDF compaiono quota, tonnellate e fattore di ogni frazione usata, le tipologie oltre le cinque nominate al capitolo 5 della Metodologia (organico, carta e cartone, vetro, plastica, tessili), con la nota «paniere in attesa di conferma della Fondazione», e quelle escluse perché senza fattore.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3"/>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3"/>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3"/>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4"/>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5"/>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5"/>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w:t>
      </w:r>
      <w:r>
        <w:rPr>
          <w:rFonts w:ascii="Arial" w:cs="Arial" w:eastAsia="Arial" w:hAnsi="Arial"/>
          <w:b/>
          <w:bCs/>
          <w:color w:val="1B2118"/>
          <w:sz w:val="21"/>
          <w:szCs w:val="21"/>
        </w:rPr>
        <w:t xml:space="preserve">una tantum</w:t>
      </w:r>
      <w:r>
        <w:rPr>
          <w:rFonts w:ascii="Arial" w:cs="Arial" w:eastAsia="Arial" w:hAnsi="Arial"/>
          <w:color w:val="1B2118"/>
          <w:sz w:val="21"/>
          <w:szCs w:val="21"/>
        </w:rPr>
        <w:t xml:space="preserve"> (Progetto, Registrazione Progetto, Registrazione Crediti Progetto) sono un corrispettivo unico e forfettario pagato in </w:t>
      </w:r>
      <w:r>
        <w:rPr>
          <w:rFonts w:ascii="Arial" w:cs="Arial" w:eastAsia="Arial" w:hAnsi="Arial"/>
          <w:b/>
          <w:bCs/>
          <w:color w:val="1B2118"/>
          <w:sz w:val="21"/>
          <w:szCs w:val="21"/>
        </w:rPr>
        <w:t xml:space="preserve">10 rate annuali</w:t>
      </w:r>
      <w:r>
        <w:rPr>
          <w:rFonts w:ascii="Arial" w:cs="Arial" w:eastAsia="Arial" w:hAnsi="Arial"/>
          <w:color w:val="1B2118"/>
          <w:sz w:val="21"/>
          <w:szCs w:val="21"/>
        </w:rPr>
        <w:t xml:space="preserve"> uguali (contratti di consulenza e di partecipazione): l'importo in tabella è la rata annua e la nota sotto la tabella lo spiega, anche nel PDF e nell'Excel. Una tabella mostra le sei voci con € per abitante, € all'anno e il totale annuo. Le tabelle non comprendono la validazione dell'ente. Per progetti di durata diversa da 10 anni la regola non è ancora stabilita: compaiono il riquadro rosso </w:t>
      </w:r>
      <w:r>
        <w:rPr>
          <w:rFonts w:ascii="Arial" w:cs="Arial" w:eastAsia="Arial" w:hAnsi="Arial"/>
          <w:b/>
          <w:bCs/>
          <w:color w:val="1B2118"/>
          <w:sz w:val="21"/>
          <w:szCs w:val="21"/>
        </w:rPr>
        <w:t xml:space="preserve">Stima, non listino approvato</w:t>
      </w:r>
      <w:r>
        <w:rPr>
          <w:rFonts w:ascii="Arial" w:cs="Arial" w:eastAsia="Arial" w:hAnsi="Arial"/>
          <w:color w:val="1B2118"/>
          <w:sz w:val="21"/>
          <w:szCs w:val="21"/>
        </w:rPr>
        <w:t xml:space="preserve">, l'avviso e la casella «Costi per il Comune nel periodo (stima)»; nel PDF e nell'Excel la riga «ATTENZIONE» sopra la tabella annuale.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6"/>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6"/>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7"/>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8"/>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8"/>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9"/>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9"/>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41"/>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4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Notizie CO2: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Notizie CO2</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con 12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pStyle w:val="ListParagraph"/>
        <w:numPr>
          <w:ilvl w:val="0"/>
          <w:numId w:val="2"/>
        </w:numPr>
        <w:spacing w:after="70" w:line="290"/>
      </w:pPr>
      <w:r>
        <w:rPr>
          <w:rFonts w:ascii="Arial" w:cs="Arial" w:eastAsia="Arial" w:hAnsi="Arial"/>
          <w:color w:val="1B2118"/>
          <w:sz w:val="21"/>
          <w:szCs w:val="21"/>
        </w:rPr>
        <w:t xml:space="preserve">su otto siti di notizie ambientali: Rinnovabili.it, QualEnergia, GreenReport, ESGnews, LifeGate, Climate Home News, edie, BusinessGreen (Rinnovabili.it e GreenReport attraverso Bing News, perché non si leggono direttamente). Da questi passano al controllo solo le notizie che parlano espressamente di crediti, compensazioni o mercati del carbonio.</w:t>
      </w:r>
    </w:p>
    <w:p>
      <w:pPr>
        <w:spacing w:after="140" w:line="300"/>
      </w:pPr>
      <w:r>
        <w:rPr>
          <w:rFonts w:ascii="Arial" w:cs="Arial" w:eastAsia="Arial" w:hAnsi="Arial"/>
          <w:color w:val="1B2118"/>
          <w:sz w:val="21"/>
          <w:szCs w:val="21"/>
        </w:rPr>
        <w:t xml:space="preserve">Google News non si usa: blocca ogni richiesta che arriva dai server del portale.</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Pallino verde.</w:t>
      </w:r>
      <w:r>
        <w:rPr>
          <w:rFonts w:ascii="Arial" w:cs="Arial" w:eastAsia="Arial" w:hAnsi="Arial"/>
          <w:color w:val="1B2118"/>
          <w:sz w:val="21"/>
          <w:szCs w:val="21"/>
        </w:rPr>
        <w:t xml:space="preserve"> Quando arrivano notizie nuove dall'ultima volta che avete aperto la sezione, nel menu compare un </w:t>
      </w:r>
      <w:r>
        <w:rPr>
          <w:rFonts w:ascii="Arial" w:cs="Arial" w:eastAsia="Arial" w:hAnsi="Arial"/>
          <w:b/>
          <w:bCs/>
          <w:color w:val="1B2118"/>
          <w:sz w:val="21"/>
          <w:szCs w:val="21"/>
        </w:rPr>
        <w:t xml:space="preserve">pallino verde in alto a destra di «Notizie CO2»</w:t>
      </w:r>
      <w:r>
        <w:rPr>
          <w:rFonts w:ascii="Arial" w:cs="Arial" w:eastAsia="Arial" w:hAnsi="Arial"/>
          <w:color w:val="1B2118"/>
          <w:sz w:val="21"/>
          <w:szCs w:val="21"/>
        </w:rPr>
        <w:t xml:space="preserve">; si spegne appena entrate nella sezione. Ogni Amministratore ha il suo pallino, uguale su ogni computer.</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5.8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5.8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qwaawmmc0bm4yseehrbiv"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5.8)</dc:title>
  <dc:creator>Fondazione Operate</dc:creator>
  <cp:lastModifiedBy>Un-named</cp:lastModifiedBy>
  <cp:revision>1</cp:revision>
  <dcterms:created xsi:type="dcterms:W3CDTF">2026-10-23T08:47:37.903Z</dcterms:created>
  <dcterms:modified xsi:type="dcterms:W3CDTF">2026-10-23T08:47:37.903Z</dcterms:modified>
</cp:coreProperties>
</file>

<file path=docProps/custom.xml><?xml version="1.0" encoding="utf-8"?>
<Properties xmlns="http://schemas.openxmlformats.org/officeDocument/2006/custom-properties" xmlns:vt="http://schemas.openxmlformats.org/officeDocument/2006/docPropsVTypes"/>
</file>