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1.0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32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ISS-034, tranne ISS-012 e ISS-020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D05-R1, O01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 voci, 2 cause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titolare), R08 (resa tipografica dei PDF)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2"/>
        <w:gridCol w:w="1685"/>
        <w:gridCol w:w="2343"/>
        <w:gridCol w:w="2344"/>
        <w:gridCol w:w="2344"/>
      </w:tblGrid>
      <w:tr>
        <w:trPr>
          <w:tblHeader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(ipotesi: caratteri non incorporati; servono i PDF originali)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10:53, 13 serie superate, prima della pubblicazione della documentazione.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Ultima prova: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20/10/2026, con 11 rifiuti attesi, conferma ordinaria possibile e rieseguibilità con dati vecchi.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 e D05-R1, O01 (10.5, 10.5b).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1.0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1.0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1.0)</dc:title>
  <dc:creator>Fondazione Operate</dc:creator>
  <cp:lastModifiedBy>Un-named</cp:lastModifiedBy>
  <cp:revision>1</cp:revision>
  <dcterms:created xsi:type="dcterms:W3CDTF">2026-10-21T08:58:32.146Z</dcterms:created>
  <dcterms:modified xsi:type="dcterms:W3CDTF">2026-10-21T08:58:32.146Z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