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Diari di Emanuele Artom</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Informazioni</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Pagina 110</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Pagina 156</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Pagina 157</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Riferimenti</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Caratteristiche</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Cenni storici</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Origine della bozza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Il materiale in questione consiste nei diari redatti da Emanuele Artom, arricchiti dalle prime due pagine contenenti la lettera originale di sua madre Amalia. Questa lettera, caratterizzata dall'epigrafe "alla mia morte questo plico deve essere consegnato al Centro di documentazione ebraica [...], esso ha un grande valore storico [...]", costituisce un importante contributo al contesto storico. I diari si suddividono chiaramente in due parti distinte. La prima parte, datata dal 1 gennaio 1940 al 10 settembre 1943, fornisce interessanti dettagli sulla vita culturale a Torino durante quegli anni, offrendo anche uno sguardo sul progressivo sviluppo della persecuzione razziale. Nel secondo segmento, che spazia dal novembre 1943 al 23 febbraio 1944, si delinea invece l'esperienza partigiana vissuta da Emanuele Artom. Questi diari costituiscono un prezioso documento storico che va oltre la mera cronaca, offrendo un'intima testimonianza di eventi cruciali e trasformazioni significative nel contesto dell'epoca.</w:t>
      </w:r>
    </w:p>
    <w:p w:rsidR="00000000" w:rsidDel="00000000" w:rsidP="00000000" w:rsidRDefault="00000000" w:rsidRPr="00000000" w14:paraId="0000000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Acquisizione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carte del fondo Emanuele Artom sono state donate alla Fondazione CDEC su espressa volontà della madre Amalia Segre Artom (cfr. busta 1, fasc. 9).</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Descrizione fisica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Fogli di carta. 172 pagine + 2 pagine iniziali che contengono un appunto della signora Amalia Artom sul diario del figlio Emanuele. Le pagine sono in buono stato, non presentano danni rilevanti, ci sono poche cancellature. Le pagine sono costituite in media da 21 righe. A volte è possibile trovare delle cancellature o delle aggiunte. Non sempre è possibile comprendere la scrittura. Il testo è interamente scritto a mano. Il testo è scritto a mano in corsivo e alcune volte può essere difficile da comprendere. Essendo degli appunti presentano cancellature e aggiunte. Non essendo destinato alla pubblicazione non presenta una copertina.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 registrati dal Centro di Documentazione Ebraica Contemporanea - CDEC Milano , Italia . 1943-1944</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Aggiunte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Cancellazioni</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Gap</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Danneggiamenti</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Luoghi</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225" w:before="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Visualizza fenomeni notevoli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AggiunteCancellazioniGapDanneggiamentiNascondi tutto</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Pagina 110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D'altra parte vedo che noi persone pulite, anche se non ci lavassimo per un mese, non raggiungerremmo il suo grado di metafisico sudiciume. Poi andai ad </w:t>
      </w:r>
      <w:r w:rsidDel="00000000" w:rsidR="00000000" w:rsidRPr="00000000">
        <w:rPr>
          <w:strike w:val="1"/>
          <w:rtl w:val="0"/>
        </w:rPr>
        <w:t xml:space="preserve"> ?</w:t>
      </w:r>
      <w:r w:rsidDel="00000000" w:rsidR="00000000" w:rsidRPr="00000000">
        <w:rPr>
          <w:rtl w:val="0"/>
        </w:rPr>
        <w:t xml:space="preserve">a parlare al parroco sulla spia </w:t>
      </w:r>
      <w:r w:rsidDel="00000000" w:rsidR="00000000" w:rsidRPr="00000000">
        <w:rPr>
          <w:strike w:val="1"/>
          <w:rtl w:val="0"/>
        </w:rPr>
        <w:t xml:space="preserve"> ?</w:t>
      </w:r>
      <w:r w:rsidDel="00000000" w:rsidR="00000000" w:rsidRPr="00000000">
        <w:rPr>
          <w:rtl w:val="0"/>
        </w:rPr>
        <w:t xml:space="preserve">. Naturalmente gli parlai come si parla a un parroco. Prima riferendogli molto ottimisticamente la storia </w:t>
      </w:r>
      <w:r w:rsidDel="00000000" w:rsidR="00000000" w:rsidRPr="00000000">
        <w:rPr>
          <w:strike w:val="1"/>
          <w:rtl w:val="0"/>
        </w:rPr>
        <w:t xml:space="preserve">del</w:t>
      </w:r>
      <w:r w:rsidDel="00000000" w:rsidR="00000000" w:rsidRPr="00000000">
        <w:rPr>
          <w:rtl w:val="0"/>
        </w:rPr>
        <w:t xml:space="preserve"> dell'attento tedesco e assicurandogli che la banda era in perfetta efficienza,poi </w:t>
      </w:r>
      <w:r w:rsidDel="00000000" w:rsidR="00000000" w:rsidRPr="00000000">
        <w:rPr>
          <w:strike w:val="1"/>
          <w:rtl w:val="0"/>
        </w:rPr>
        <w:t xml:space="preserve"> ?</w:t>
      </w:r>
      <w:r w:rsidDel="00000000" w:rsidR="00000000" w:rsidRPr="00000000">
        <w:rPr>
          <w:rtl w:val="0"/>
        </w:rPr>
        <w:t xml:space="preserve"> concludendo effettivamente ora le parlo come in confessione. Il sangue dei due civili caduti ricade sulle ?, se ci fossero i tribuali militari lo processeremmo, non avendoli dobbiamo andare dai ? e gli chiesi informazioni su R P.ma </w:t>
      </w:r>
      <w:r w:rsidDel="00000000" w:rsidR="00000000" w:rsidRPr="00000000">
        <w:rPr>
          <w:strike w:val="1"/>
          <w:rtl w:val="0"/>
        </w:rPr>
        <w:t xml:space="preserve"> ?</w:t>
      </w:r>
      <w:r w:rsidDel="00000000" w:rsidR="00000000" w:rsidRPr="00000000">
        <w:rPr>
          <w:rtl w:val="0"/>
        </w:rPr>
        <w:t xml:space="preserve"> risultò che non </w:t>
      </w:r>
      <w:r w:rsidDel="00000000" w:rsidR="00000000" w:rsidRPr="00000000">
        <w:rPr>
          <w:strike w:val="1"/>
          <w:rtl w:val="0"/>
        </w:rPr>
        <w:t xml:space="preserve">era</w:t>
      </w:r>
      <w:r w:rsidDel="00000000" w:rsidR="00000000" w:rsidRPr="00000000">
        <w:rPr>
          <w:rtl w:val="0"/>
        </w:rPr>
        <w:t xml:space="preserve"> dubitava da anni </w:t>
      </w:r>
      <w:r w:rsidDel="00000000" w:rsidR="00000000" w:rsidRPr="00000000">
        <w:rPr>
          <w:strike w:val="1"/>
          <w:rtl w:val="0"/>
        </w:rPr>
        <w:t xml:space="preserve"> ?</w:t>
      </w:r>
      <w:r w:rsidDel="00000000" w:rsidR="00000000" w:rsidRPr="00000000">
        <w:rPr>
          <w:rtl w:val="0"/>
        </w:rPr>
        <w:t xml:space="preserve"> torno in infermeria dove trovo G. tornato in gran fretta per non lasciarmi solo.</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Pagina 156</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Municipio, si presidiano le strade con </w:t>
      </w:r>
      <w:r w:rsidDel="00000000" w:rsidR="00000000" w:rsidRPr="00000000">
        <w:rPr>
          <w:strike w:val="1"/>
          <w:rtl w:val="0"/>
        </w:rPr>
        <w:t xml:space="preserve">i fu</w:t>
      </w:r>
      <w:r w:rsidDel="00000000" w:rsidR="00000000" w:rsidRPr="00000000">
        <w:rPr>
          <w:rtl w:val="0"/>
        </w:rPr>
        <w:t xml:space="preserve"> truppe armate, si parla forte negli alberghi si distribuiscono fogli politici. Oggi da l'ignoranza fascista su di noi è spaventosa, un ufficiale ha detto: dubito che finire con l'avvicinarvi all'. ieri venne tutto preoccupato a chiedere informazioni sulla nostra tregua, da parte di Barbato, che era sdegnatissimo, ma l'abbiamo rassicurato: fortunatamente c'era anche C., che ha potuto difenderci in pieno da ogni accusa. Il congresso di politica estera ha tutte le personalità, di modo che è nato un altro congresso di politica interna, pieno di pettegolezzi; rancori; personalismi. Pare di nuotare a gara in uno stagno di acqua sporca, ma forse io sono quello che mi tengo più a galla. Tipico come episodio quello di Silvio, che giorni fa fece molti elogi sul mio conto a Leo , il quale me li riferì; appena mi vide, mi chiese che che Leo me li aveva riferiti. Poi scherzi su bombarolini . La grave questione è quella di Rob e dei . Ormai il colonnello è del tutto esautorato. Tutti vorrebbero C. ma Rob gli ha fatto capire che vigilia della vittoria non vuole cedere ad altri il posto e la gloria.</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Pagina 157</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Grande inconveniente è che , lo supererei, dando prova di spirito di tolleranza, ma mettendogli alle costole G. che lo sorvegli sempre. Prevedendo che la caduta di Rob deve essere imminente, io ho creduto ieri mattina di esporgli tutte le e degli altri cominciando: - sai che io sono l'unica persona che ti parla sinceramente - cosicchè quando esporrà il suo parere, non potrà accusarmi di aver agito in modo non leale. Decine di colloqui con l'uno e con l'altro. Nello, offeso dalla sua , ieri si è da Rob mi puzza e farà la sua relazione a Giorgio A. Tra l'altro ha detto che l'ala protestante del P. D. A. protegge Bob. Per evitare che l'opposizione si stacchi da e si avvicini a Nello, ho esposto questa ipotesi a Silvio, aggiungendo che come , non credevo ai Protocolli dei di Torre Pellice. Ho anche esposto che il interpreta la carica di commissario in modo borghese, non rivoluzionario, dando, in questo particolare, pienamente ragione alle accuse dei comunisti, che dicono che siamo di sinistra solo nei programmi. Si dice che gli ufficiali non tollererebbero una maggiore inframmettenza, ma a Borge tutti erano</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Riferimenti</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Edizione Digitale - Aprile 2024</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Progetto a cura di:</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Coordinato da: Angelo Mario Del Grosso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