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12.08.2026 · adâncit cu 19.08.2026 — 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11.6 Vânzarea unui mijloc fix</w:t>
      </w:r>
    </w:p>
    <w:p>
      <w:pPr>
        <w:jc w:val="both"/>
      </w:pPr>
      <w:r>
        <w:t>Preț de vânzare 60.000 lei, TVA 21%.</w:t>
      </w:r>
    </w:p>
    <w:p>
      <w:pPr>
        <w:jc w:val="both"/>
      </w:pPr>
      <w:r>
        <w:rPr>
          <w:b/>
        </w:rPr>
        <w:t>Facturarea:</w:t>
      </w:r>
    </w:p>
    <w:p>
      <w:pPr>
        <w:ind w:left="280"/>
      </w:pPr>
      <w:r>
        <w:rPr>
          <w:rFonts w:ascii="Consolas" w:hAnsi="Consolas"/>
          <w:sz w:val="18"/>
        </w:rPr>
        <w:t>4111 = 7583   ·  60.000     (venituri din vânzarea activelor)</w:t>
        <w:br/>
        <w:t>4111 = 4427   ·  12.600</w:t>
      </w:r>
    </w:p>
    <w:p>
      <w:pPr>
        <w:jc w:val="both"/>
      </w:pPr>
      <w:r>
        <w:t xml:space="preserve">Raționamentul de control: conturile de clasa 6 stau pe </w:t>
      </w:r>
      <w:r>
        <w:rPr>
          <w:b/>
        </w:rPr>
        <w:t>debit</w:t>
      </w:r>
      <w:r>
        <w:t xml:space="preserve">, cele de clasa 7 stau pe </w:t>
      </w:r>
      <w:r>
        <w:rPr>
          <w:b/>
        </w:rPr>
        <w:t>credit</w:t>
      </w:r>
      <w:r>
        <w:t xml:space="preserve">. Deci contul de venit (7583) merge pe credit, iar clientul (4111) pe debit. TVA-ul colectat, fiind un cont de pasiv care crește, merge tot pe </w:t>
      </w:r>
      <w:r>
        <w:rPr>
          <w:b/>
        </w:rPr>
        <w:t>credit</w:t>
      </w:r>
      <w:r>
        <w:t>.</w:t>
      </w:r>
    </w:p>
    <w:p>
      <w:pPr>
        <w:jc w:val="both"/>
      </w:pPr>
      <w:r>
        <w:rPr>
          <w:b/>
        </w:rPr>
        <w:t>Scoaterea din evidență a mijlocului fix</w:t>
      </w:r>
      <w:r>
        <w:t xml:space="preserve"> — pasul pe care nu trebuie să-l uiți. Presupunem valoare de intrare 50.000, amortizare cumulată 38.000:</w:t>
      </w:r>
    </w:p>
    <w:p>
      <w:pPr>
        <w:ind w:left="280"/>
      </w:pPr>
      <w:r>
        <w:rPr>
          <w:rFonts w:ascii="Consolas" w:hAnsi="Consolas"/>
          <w:sz w:val="18"/>
        </w:rPr>
        <w:t>2813 = 213    ·  38.000     (amortizarea cumulată)</w:t>
        <w:br/>
        <w:t>6583 = 213    ·  12.000     (valoarea rămasă neamortizată)</w:t>
      </w:r>
    </w:p>
    <w:p>
      <w:pPr>
        <w:jc w:val="both"/>
      </w:pPr>
      <w:r>
        <w:rPr>
          <w:b/>
        </w:rPr>
        <w:t>Închiderea TVA colectată</w:t>
      </w:r>
      <w:r>
        <w:t xml:space="preserve"> (dacă nu există deductibil în luna respectivă):</w:t>
      </w:r>
    </w:p>
    <w:p>
      <w:pPr>
        <w:ind w:left="280"/>
      </w:pPr>
      <w:r>
        <w:rPr>
          <w:rFonts w:ascii="Consolas" w:hAnsi="Consolas"/>
          <w:sz w:val="18"/>
        </w:rPr>
        <w:t>4427 = 4423   ·  12.600</w:t>
      </w: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Excepția de la cumulul cu profitul reinvestit (art. 22 alin. 9) acoperă doar amortizarea accelerată, sau și pe cea superaccelerată de 65%?</w:t>
      </w:r>
    </w:p>
    <w:p>
      <w:pPr>
        <w:jc w:val="both"/>
      </w:pPr>
      <w:r>
        <w:t xml:space="preserve">Regula: cine aplică scutirea de impozit a profitului reinvestit </w:t>
      </w:r>
      <w:r>
        <w:rPr>
          <w:b/>
        </w:rPr>
        <w:t>nu poate opta pentru amortizarea accelerată</w:t>
      </w:r>
      <w:r>
        <w:t xml:space="preserve"> pentru activele respective — se amortizează liniar sau degresiv. Există însă o </w:t>
      </w:r>
      <w:r>
        <w:rPr>
          <w:b/>
        </w:rPr>
        <w:t>excepție pentru 2026</w:t>
      </w:r>
      <w:r>
        <w:t xml:space="preserve">: dacă scutirea se aplică pentru subgrupa 2.1 (echipamente tehnologice — mașini, utilaje și instalații de lucru) și pentru calculatoare și echipamente periferice, contribuabilul </w:t>
      </w:r>
      <w:r>
        <w:rPr>
          <w:b/>
        </w:rPr>
        <w:t>poate</w:t>
      </w:r>
      <w:r>
        <w:t xml:space="preserve"> opta pentru amortizare accelerată.</w:t>
      </w:r>
    </w:p>
    <w:p>
      <w:pPr>
        <w:jc w:val="both"/>
      </w:pPr>
      <w:r>
        <w:rPr>
          <w:i/>
        </w:rPr>
        <w:t>Temei:</w:t>
      </w:r>
      <w:r>
        <w:t xml:space="preserve"> Cod fiscal art. 22 alin. (9), cu trimitere la art. 28 alin. (5) lit. b) pentru excepția din 2026.</w:t>
      </w:r>
    </w:p>
    <w:p>
      <w:pPr>
        <w:jc w:val="both"/>
      </w:pPr>
      <w:r>
        <w:rPr>
          <w:i/>
        </w:rPr>
        <w:t>Imobilizări — prag și amortizare · training 12.08.2026, întrebarea 2 · verificat 21.08.2026</w:t>
      </w:r>
    </w:p>
    <w:p>
      <w:pPr>
        <w:jc w:val="both"/>
      </w:pPr>
      <w:r>
        <w:rPr>
          <w:b/>
        </w:rPr>
        <w:t>✅ Care este baza legală exactă pentru a trata ca nedeductibilă diferența dintre valoarea rămasă și prețul de vânzare, față de art. 28 alin. (17)?</w:t>
      </w:r>
    </w:p>
    <w:p>
      <w:pPr>
        <w:jc w:val="both"/>
      </w:pPr>
      <w:r>
        <w:rPr>
          <w:b/>
        </w:rPr>
        <w:t>Nu există un asemenea temei — presupunerea din notițe e inversă.</w:t>
      </w:r>
      <w:r>
        <w:t xml:space="preserve"> La vânzarea unui mijloc fix la prețul pieței, valoarea rămasă neamortizată e cheltuială </w:t>
      </w:r>
      <w:r>
        <w:rPr>
          <w:b/>
        </w:rPr>
        <w:t>deductibilă</w:t>
      </w:r>
      <w:r>
        <w:t xml:space="preserve">, chiar dacă prețul e sub ea. Limitarea reală e alta și privește doar </w:t>
      </w:r>
      <w:r>
        <w:rPr>
          <w:b/>
        </w:rPr>
        <w:t>autoturismele din categoria M1</w:t>
      </w:r>
      <w:r>
        <w:t xml:space="preserve">: acolo valoarea rămasă e deductibilă în limita a </w:t>
      </w:r>
      <w:r>
        <w:rPr>
          <w:b/>
        </w:rPr>
        <w:t>1.500 lei × numărul de luni rămase</w:t>
      </w:r>
      <w:r>
        <w:t xml:space="preserve"> de amortizat din durata normală de funcționare.</w:t>
      </w:r>
    </w:p>
    <w:p>
      <w:pPr>
        <w:jc w:val="both"/>
      </w:pPr>
      <w:r>
        <w:rPr>
          <w:i/>
        </w:rPr>
        <w:t>Temei:</w:t>
      </w:r>
      <w:r>
        <w:t xml:space="preserve"> Cod fiscal art. 28 alin. (17) și normele metodologice aferente (limitarea M1).</w:t>
      </w:r>
    </w:p>
    <w:p>
      <w:pPr>
        <w:jc w:val="both"/>
      </w:pPr>
      <w:r>
        <w:rPr>
          <w:i/>
        </w:rPr>
        <w:t>Imobilizări — ieșiri din gestiune · training 12.08.2026, întrebarea 3 · verificat 21.08.2026</w:t>
      </w:r>
    </w:p>
    <w:p>
      <w:pPr>
        <w:jc w:val="both"/>
      </w:pPr>
      <w:r>
        <w:rPr>
          <w:b/>
        </w:rPr>
        <w:t>✅ La o casare din care nu rezultă nici deșeuri, nici piese reutilizabile, cum se justifică deductibilitatea valorii rămase neamortizate?</w:t>
      </w:r>
    </w:p>
    <w:p>
      <w:pPr>
        <w:jc w:val="both"/>
      </w:pPr>
      <w:r>
        <w:rPr>
          <w:b/>
        </w:rPr>
        <w:t>Nu se cere nici deșeu, nici piesă reutilizabilă.</w:t>
      </w:r>
      <w:r>
        <w:t xml:space="preserve"> Cheltuielile înregistrate ca urmare a casării unui mijloc fix cu valoare fiscală incomplet amortizată sunt, prin lege, cheltuieli efectuate în scopul desfășurării activității economice — deci deductibile. Documentația de casare rămâne necesară ca probă a operațiunii, nu ca o condiție de deductibilitate.</w:t>
      </w:r>
    </w:p>
    <w:p>
      <w:pPr>
        <w:jc w:val="both"/>
      </w:pPr>
      <w:r>
        <w:rPr>
          <w:i/>
        </w:rPr>
        <w:t>Temei:</w:t>
      </w:r>
      <w:r>
        <w:t xml:space="preserve"> Cod fiscal art. 28 alin. (17).</w:t>
      </w:r>
    </w:p>
    <w:p>
      <w:pPr>
        <w:jc w:val="both"/>
      </w:pPr>
      <w:r>
        <w:rPr>
          <w:i/>
        </w:rPr>
        <w:t>Imobilizări — ieșiri din gestiune · training 12.08.2026, întrebarea 5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