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Control, documente și numerar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Sursă: training 19.08.2026 — cum se citește un cont, ce cere legea de la un document și unde se rupe disciplina de casă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Convenția de notare</w:t>
      </w:r>
    </w:p>
    <w:p>
      <w:pPr>
        <w:jc w:val="both"/>
      </w:pPr>
      <w:r>
        <w:rPr>
          <w:i/>
        </w:rPr>
        <w:t>Material de studiu structurat pe baza notițelor de training din 19.08.2026.</w:t>
      </w:r>
    </w:p>
    <w:p>
      <w:pPr>
        <w:jc w:val="both"/>
      </w:pPr>
      <w:r>
        <w:t>Convenție de notare folosită peste tot în ghid:</w:t>
      </w:r>
    </w:p>
    <w:p>
      <w:pPr>
        <w:ind w:left="360"/>
      </w:pPr>
      <w:r>
        <w:rPr>
          <w:rFonts w:ascii="Consolas" w:hAnsi="Consolas"/>
          <w:i/>
          <w:color w:val="5D6E7E"/>
          <w:sz w:val="19"/>
        </w:rPr>
        <w:t>cont debitor = cont creditor · sumă</w:t>
      </w:r>
    </w:p>
    <w:p>
      <w:pPr>
        <w:pStyle w:val="Heading2"/>
      </w:pPr>
      <w:r>
        <w:t>1. Cum se citește un cont</w:t>
      </w:r>
    </w:p>
    <w:p>
      <w:pPr>
        <w:jc w:val="both"/>
      </w:pPr>
      <w:r>
        <w:t>Înainte de orice înregistrare, două lucruri fixe, care nu se schimbă niciodată:</w:t>
      </w:r>
    </w:p>
    <w:p>
      <w:pPr>
        <w:pStyle w:val="ListBullet"/>
      </w:pPr>
      <w:r>
        <w:rPr>
          <w:b/>
        </w:rPr>
        <w:t>Debitul este partea stângă</w:t>
      </w:r>
      <w:r>
        <w:t xml:space="preserve"> a contului.</w:t>
      </w:r>
    </w:p>
    <w:p>
      <w:pPr>
        <w:pStyle w:val="ListBullet"/>
      </w:pPr>
      <w:r>
        <w:rPr>
          <w:b/>
        </w:rPr>
        <w:t>Creditul este partea dreaptă</w:t>
      </w:r>
      <w:r>
        <w:t xml:space="preserve"> a contului.</w:t>
      </w:r>
    </w:p>
    <w:p>
      <w:pPr>
        <w:jc w:val="both"/>
      </w:pPr>
      <w:r>
        <w:t>Restul decurge din natura contului: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Cont de </w:t>
            </w:r>
            <w:r>
              <w:rPr>
                <w:b/>
                <w:sz w:val="18"/>
              </w:rPr>
              <w:t>ACTIV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Cont de </w:t>
            </w:r>
            <w:r>
              <w:rPr>
                <w:b/>
                <w:sz w:val="18"/>
              </w:rPr>
              <w:t>PASIV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Ce reprezintă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Ce </w:t>
            </w:r>
            <w:r>
              <w:rPr>
                <w:b/>
                <w:sz w:val="18"/>
              </w:rPr>
              <w:t>deține</w:t>
            </w:r>
            <w:r>
              <w:rPr>
                <w:sz w:val="18"/>
              </w:rPr>
              <w:t xml:space="preserve"> societatea (bunuri, creanțe, bani)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Ce </w:t>
            </w:r>
            <w:r>
              <w:rPr>
                <w:b/>
                <w:sz w:val="18"/>
              </w:rPr>
              <w:t>datorează</w:t>
            </w:r>
            <w:r>
              <w:rPr>
                <w:sz w:val="18"/>
              </w:rPr>
              <w:t xml:space="preserve"> societatea (datorii, capital)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Prima funcțiune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Începe prin a se </w:t>
            </w:r>
            <w:r>
              <w:rPr>
                <w:b/>
                <w:sz w:val="18"/>
              </w:rPr>
              <w:t>debita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Începe prin a se </w:t>
            </w:r>
            <w:r>
              <w:rPr>
                <w:b/>
                <w:sz w:val="18"/>
              </w:rPr>
              <w:t>credita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Crește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debit</w:t>
            </w:r>
            <w:r>
              <w:rPr>
                <w:sz w:val="18"/>
              </w:rPr>
              <w:t xml:space="preserve"> (stânga)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credit</w:t>
            </w:r>
            <w:r>
              <w:rPr>
                <w:sz w:val="18"/>
              </w:rPr>
              <w:t xml:space="preserve"> (dreapta)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Scade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credit</w:t>
            </w:r>
            <w:r>
              <w:rPr>
                <w:sz w:val="18"/>
              </w:rPr>
              <w:t xml:space="preserve"> (dreapta)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debit</w:t>
            </w:r>
            <w:r>
              <w:rPr>
                <w:sz w:val="18"/>
              </w:rPr>
              <w:t xml:space="preserve"> (stânga)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 final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debitor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creditor</w:t>
            </w:r>
          </w:p>
        </w:tc>
      </w:tr>
    </w:tbl>
    <w:p/>
    <w:p>
      <w:pPr>
        <w:jc w:val="both"/>
      </w:pPr>
      <w:r>
        <w:t xml:space="preserve">Exemple: 371 Mărfuri, 4111 Clienți, 5121 Conturi la bănci → </w:t>
      </w:r>
      <w:r>
        <w:rPr>
          <w:b/>
        </w:rPr>
        <w:t>activ</w:t>
      </w:r>
      <w:r>
        <w:t>.</w:t>
      </w:r>
    </w:p>
    <w:p>
      <w:pPr>
        <w:jc w:val="both"/>
      </w:pPr>
      <w:r>
        <w:t xml:space="preserve">401 Furnizori, 419 Clienți-creditori, 4423 TVA de plată → </w:t>
      </w:r>
      <w:r>
        <w:rPr>
          <w:b/>
        </w:rPr>
        <w:t>pasiv</w:t>
      </w:r>
      <w:r>
        <w:t>.</w:t>
      </w:r>
    </w:p>
    <w:p>
      <w:pPr>
        <w:jc w:val="both"/>
      </w:pPr>
      <w:r>
        <w:rPr>
          <w:b/>
        </w:rPr>
        <w:t>Conturi bifuncționale.</w:t>
      </w:r>
      <w:r>
        <w:t xml:space="preserve"> Câteva conturi pot avea, după caz, sold debitor sau creditor: </w:t>
      </w:r>
      <w:r>
        <w:rPr>
          <w:b/>
        </w:rPr>
        <w:t>408</w:t>
      </w:r>
      <w:r>
        <w:t xml:space="preserve">, </w:t>
      </w:r>
      <w:r>
        <w:rPr>
          <w:b/>
        </w:rPr>
        <w:t>418</w:t>
      </w:r>
      <w:r>
        <w:t xml:space="preserve">, </w:t>
      </w:r>
      <w:r>
        <w:rPr>
          <w:b/>
        </w:rPr>
        <w:t>4428</w:t>
      </w:r>
      <w:r>
        <w:t xml:space="preserve">, </w:t>
      </w:r>
      <w:r>
        <w:rPr>
          <w:b/>
        </w:rPr>
        <w:t>473</w:t>
      </w:r>
      <w:r>
        <w:t xml:space="preserve">, </w:t>
      </w:r>
      <w:r>
        <w:rPr>
          <w:b/>
        </w:rPr>
        <w:t>481</w:t>
      </w:r>
      <w:r>
        <w:t>. Exact acestea sunt cele care cer atenție și analitice — vezi secțiunile 4 și 5.</w:t>
      </w:r>
    </w:p>
    <w:p>
      <w:pPr>
        <w:jc w:val="both"/>
      </w:pPr>
      <w:r>
        <w:rPr>
          <w:b/>
        </w:rPr>
        <w:t>Semnal de eroare:</w:t>
      </w:r>
      <w:r>
        <w:t xml:space="preserve"> un cont de activ cu sold creditor (sau invers) înseamnă aproape întotdeauna o înregistrare greșită. Un 4111 cu sold creditor = ai încasat mai mult decât ai facturat (vezi 7.3).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Operațiuni speciale</w:t>
      </w:r>
    </w:p>
    <w:p>
      <w:pPr>
        <w:pStyle w:val="Heading3"/>
      </w:pPr>
      <w:r>
        <w:t>2.1 Prețul din contract fără mențiune de TVA</w:t>
      </w:r>
    </w:p>
    <w:p>
      <w:pPr>
        <w:jc w:val="both"/>
      </w:pPr>
      <w:r>
        <w:t xml:space="preserve">Când un contract menționează sec o sumă — „100.000 lei", punct, fără nicio precizare — acea sumă se consideră că este </w:t>
      </w:r>
      <w:r>
        <w:rPr>
          <w:b/>
        </w:rPr>
        <w:t>cu tot cu TVA</w:t>
      </w:r>
      <w:r>
        <w:t>.</w:t>
      </w:r>
    </w:p>
    <w:p>
      <w:pPr>
        <w:jc w:val="both"/>
      </w:pPr>
      <w:r>
        <w:t xml:space="preserve">De aceea este esențial ca în contract să se menționeze explicit: prețul </w:t>
      </w:r>
      <w:r>
        <w:rPr>
          <w:b/>
        </w:rPr>
        <w:t>cu sau fără TVA</w:t>
      </w:r>
      <w:r>
        <w:t>, și tranșele în care se primesc banii.</w:t>
      </w:r>
    </w:p>
    <w:p>
      <w:pPr>
        <w:jc w:val="both"/>
      </w:pPr>
      <w:r>
        <w:t xml:space="preserve">Principiul este consacrat de jurisprudența CJUE (cauzele conexate C-249/12 și C-250/12, </w:t>
      </w:r>
      <w:r>
        <w:rPr>
          <w:i/>
        </w:rPr>
        <w:t>Tulică și Plavoșin</w:t>
      </w:r>
      <w:r>
        <w:t>).</w:t>
      </w:r>
    </w:p>
    <w:p>
      <w:pPr>
        <w:pStyle w:val="Heading3"/>
      </w:pPr>
      <w:r>
        <w:t>2.2 Încasare mai mare decât factura</w:t>
      </w:r>
    </w:p>
    <w:p>
      <w:pPr>
        <w:jc w:val="both"/>
      </w:pPr>
      <w:r>
        <w:t>Ai emis o factură de 10.000 lei și ai încasat 15.000 lei.</w:t>
      </w:r>
    </w:p>
    <w:p>
      <w:pPr>
        <w:jc w:val="both"/>
      </w:pPr>
      <w:r>
        <w:t xml:space="preserve">Diferența de 5.000 lei este un </w:t>
      </w:r>
      <w:r>
        <w:rPr>
          <w:b/>
        </w:rPr>
        <w:t>avans</w:t>
      </w:r>
      <w:r>
        <w:t xml:space="preserve">, nu un venit — deci </w:t>
      </w:r>
      <w:r>
        <w:rPr>
          <w:b/>
        </w:rPr>
        <w:t>nu</w:t>
      </w:r>
      <w:r>
        <w:t xml:space="preserve"> poate merge pe 472. Merge pe </w:t>
      </w:r>
      <w:r>
        <w:rPr>
          <w:b/>
        </w:rPr>
        <w:t>419</w:t>
      </w:r>
      <w:r>
        <w:t>, iar din ea trebuie extras TVA-ul și colectat, chiar dacă banii se returnează partenerului luna următoare.</w:t>
      </w:r>
    </w:p>
    <w:p>
      <w:pPr>
        <w:jc w:val="both"/>
      </w:pPr>
      <w:r>
        <w:t>Suma încasată în plus este TVA-inclusivă:</w:t>
      </w:r>
    </w:p>
    <w:p>
      <w:pPr>
        <w:pStyle w:val="ListBullet"/>
      </w:pPr>
      <w:r>
        <w:t xml:space="preserve">baza: 5.000 ÷ 1,21 = </w:t>
      </w:r>
      <w:r>
        <w:rPr>
          <w:b/>
        </w:rPr>
        <w:t>4.132,23</w:t>
      </w:r>
    </w:p>
    <w:p>
      <w:pPr>
        <w:pStyle w:val="ListBullet"/>
      </w:pPr>
      <w:r>
        <w:t xml:space="preserve">TVA: </w:t>
      </w:r>
      <w:r>
        <w:rPr>
          <w:b/>
        </w:rPr>
        <w:t>867,77</w:t>
      </w:r>
    </w:p>
    <w:p>
      <w:pPr>
        <w:ind w:left="280"/>
      </w:pPr>
      <w:r>
        <w:rPr>
          <w:rFonts w:ascii="Consolas" w:hAnsi="Consolas"/>
          <w:sz w:val="18"/>
        </w:rPr>
        <w:t>4111 = 419    ·   4.132,23</w:t>
        <w:br/>
        <w:t>4111 = 4427   ·     867,77</w:t>
      </w:r>
    </w:p>
    <w:p>
      <w:pPr>
        <w:jc w:val="both"/>
      </w:pPr>
      <w:r>
        <w:t xml:space="preserve">Impactul fiscal apare doar când încasarea și restituirea </w:t>
      </w:r>
      <w:r>
        <w:rPr>
          <w:b/>
        </w:rPr>
        <w:t>nu se închid în aceeași lună</w:t>
      </w:r>
      <w:r>
        <w:t>. Dacă returnezi banii în aceeași lună, situația se neutralizează.</w:t>
      </w:r>
    </w:p>
    <w:p>
      <w:pPr>
        <w:jc w:val="both"/>
      </w:pPr>
      <w:r>
        <w:t xml:space="preserve">Practic: soldul lui 4111 poate apărea ca debit cu minus sau ca sold creditor — de aceea se ia </w:t>
      </w:r>
      <w:r>
        <w:rPr>
          <w:b/>
        </w:rPr>
        <w:t>fișa pe plătitor</w:t>
      </w:r>
      <w:r>
        <w:t xml:space="preserve"> și se verifică. Trebuie contraverificat </w:t>
      </w:r>
      <w:r>
        <w:rPr>
          <w:b/>
        </w:rPr>
        <w:t>4427</w:t>
      </w:r>
      <w:r>
        <w:t>, ca să confirmi că softul chiar a extras TVA-ul pentru tranzacția respectivă.</w:t>
      </w:r>
    </w:p>
    <w:p>
      <w:pPr>
        <w:jc w:val="both"/>
      </w:pPr>
      <w:r>
        <w:t xml:space="preserve">Legiuitorul nu impune corecții când </w:t>
      </w:r>
      <w:r>
        <w:rPr>
          <w:b/>
        </w:rPr>
        <w:t>tu</w:t>
      </w:r>
      <w:r>
        <w:t xml:space="preserve"> plătești în plus, dar impune corecția atunci când </w:t>
      </w:r>
      <w:r>
        <w:rPr>
          <w:b/>
        </w:rPr>
        <w:t>tu încasezi</w:t>
      </w:r>
      <w:r>
        <w:t xml:space="preserve"> în plus.</w:t>
      </w:r>
    </w:p>
    <w:p>
      <w:pPr>
        <w:pStyle w:val="Heading3"/>
      </w:pPr>
      <w:r>
        <w:t>2.3 Note despre 455</w:t>
      </w:r>
    </w:p>
    <w:p>
      <w:pPr>
        <w:jc w:val="both"/>
      </w:pPr>
      <w:r>
        <w:t xml:space="preserve">Contul </w:t>
      </w:r>
      <w:r>
        <w:rPr>
          <w:b/>
        </w:rPr>
        <w:t>455</w:t>
      </w:r>
      <w:r>
        <w:t xml:space="preserve"> Sume datorate acționarilor/asociaților are restricții privind operațiunile în numerar: plățile din 455 prin casierie nu mai sunt permise în condițiile anterioare. ❓ Punct de verificat în textul legal în vigoare — vezi Anexa D.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Numerar și plafoane (Legea 70/2015)</w:t>
      </w:r>
    </w:p>
    <w:p>
      <w:pPr>
        <w:jc w:val="both"/>
      </w:pPr>
      <w:r>
        <w:t>Plafoanele reținute la training: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Tip operațiune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Plafon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Între persoane juridice (B2B)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5.000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Încasări de la persoane fizice (B2C)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10.000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Între persoane fizice (C2C)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50.000 lei</w:t>
            </w:r>
          </w:p>
        </w:tc>
      </w:tr>
    </w:tbl>
    <w:p/>
    <w:p>
      <w:pPr>
        <w:jc w:val="both"/>
      </w:pPr>
      <w:r>
        <w:rPr>
          <w:b/>
        </w:rPr>
        <w:t>Cum se citesc plafoanele — răspuns la întrebarea din notițe:</w:t>
      </w:r>
    </w:p>
    <w:p>
      <w:pPr>
        <w:pStyle w:val="ListBullet"/>
      </w:pPr>
      <w:r>
        <w:t xml:space="preserve">Sunt </w:t>
      </w:r>
      <w:r>
        <w:rPr>
          <w:b/>
        </w:rPr>
        <w:t>plafoane zilnice</w:t>
      </w:r>
      <w:r>
        <w:t xml:space="preserve">, </w:t>
      </w:r>
      <w:r>
        <w:rPr>
          <w:b/>
        </w:rPr>
        <w:t>per persoană</w:t>
      </w:r>
      <w:r>
        <w:t xml:space="preserve"> — nu per contract și nu per document izolat. Adică: de la același partener, într-o zi, nu poți încasa în numerar peste plafon, indiferent câte documente emiți.</w:t>
      </w:r>
    </w:p>
    <w:p>
      <w:pPr>
        <w:pStyle w:val="ListBullet"/>
      </w:pPr>
      <w:r>
        <w:t xml:space="preserve">Pentru operațiunile între persoane juridice există și un </w:t>
      </w:r>
      <w:r>
        <w:rPr>
          <w:b/>
        </w:rPr>
        <w:t>plafon total zilnic</w:t>
      </w:r>
      <w:r>
        <w:t>, peste limita per persoană.</w:t>
      </w:r>
    </w:p>
    <w:p>
      <w:pPr>
        <w:pStyle w:val="ListBullet"/>
      </w:pPr>
      <w:r>
        <w:rPr>
          <w:b/>
        </w:rPr>
        <w:t>Fragmentarea este interzisă expres.</w:t>
      </w:r>
      <w:r>
        <w:t xml:space="preserve"> Nu poți sparge o factură de 12.000 lei în trei tranșe de 4.000 lei, nici în aceeași zi, nici pe zile consecutive, dacă scopul este eludarea plafonului. Aceasta este și logica pentru care plafonul e „pe zi": altfel ar fi trivial de ocolit.</w:t>
      </w:r>
    </w:p>
    <w:p>
      <w:pPr>
        <w:pStyle w:val="ListBullet"/>
      </w:pPr>
      <w:r>
        <w:t xml:space="preserve">Există și un plafon pentru </w:t>
      </w:r>
      <w:r>
        <w:rPr>
          <w:b/>
        </w:rPr>
        <w:t>soldul casieriei</w:t>
      </w:r>
      <w:r>
        <w:t xml:space="preserve"> la sfârșitul zilei.</w:t>
      </w:r>
    </w:p>
    <w:p>
      <w:pPr>
        <w:jc w:val="both"/>
      </w:pPr>
      <w:r>
        <w:t>Restul, peste plafon, se decontează obligatoriu prin bancă.</w:t>
      </w:r>
    </w:p>
    <w:p>
      <w:pPr>
        <w:ind w:left="360"/>
      </w:pPr>
      <w:r>
        <w:rPr>
          <w:i/>
          <w:color w:val="5D6E7E"/>
        </w:rPr>
        <w:t>Cifrele exacte au fost modificate prin Legea 296/2023. Înainte de a le aplica la un client, confirmă valorile în textul Legii 70/2015 în vigoare la data operațiunii ❓ — vezi Anexa D.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Documente, contracte și riscuri la control</w:t>
      </w:r>
    </w:p>
    <w:p>
      <w:pPr>
        <w:pStyle w:val="Heading3"/>
      </w:pPr>
      <w:r>
        <w:t>4.1 „Prestări servicii conform contract"</w:t>
      </w:r>
    </w:p>
    <w:p>
      <w:pPr>
        <w:jc w:val="both"/>
      </w:pPr>
      <w:r>
        <w:t xml:space="preserve">Când pe documentul de intrare scrie doar atât, ai o problemă: legea obligă la descrierea </w:t>
      </w:r>
      <w:r>
        <w:rPr>
          <w:b/>
        </w:rPr>
        <w:t>naturii serviciului prestat</w:t>
      </w:r>
      <w:r>
        <w:t xml:space="preserve"> (art. 319 Cod fiscal — denumirea și cantitatea bunurilor livrate, denumirea serviciilor prestate).</w:t>
      </w:r>
    </w:p>
    <w:p>
      <w:pPr>
        <w:jc w:val="both"/>
      </w:pPr>
      <w:r>
        <w:t>Prestările de servicii sunt foarte diverse, iar încadrarea contează:</w:t>
      </w:r>
    </w:p>
    <w:p>
      <w:pPr>
        <w:pStyle w:val="ListBullet"/>
      </w:pPr>
      <w:r>
        <w:t xml:space="preserve">dacă factura menționează </w:t>
      </w:r>
      <w:r>
        <w:rPr>
          <w:b/>
        </w:rPr>
        <w:t>numărul contractului</w:t>
      </w:r>
      <w:r>
        <w:t>, ești norocos — te uiți în contract;</w:t>
      </w:r>
    </w:p>
    <w:p>
      <w:pPr>
        <w:pStyle w:val="ListBullet"/>
      </w:pPr>
      <w:r>
        <w:t>o factură de 628 de 100.000 lei cere o cu totul altă abordare decât una de 500 lei;</w:t>
      </w:r>
    </w:p>
    <w:p>
      <w:pPr>
        <w:pStyle w:val="ListBullet"/>
      </w:pPr>
      <w:r>
        <w:t xml:space="preserve">cazul fericit: servicii de arhitectură / proiectare → nu e cheltuială, e </w:t>
      </w:r>
      <w:r>
        <w:rPr>
          <w:b/>
        </w:rPr>
        <w:t>imobilizare în curs</w:t>
      </w:r>
      <w:r>
        <w:t>.</w:t>
      </w:r>
    </w:p>
    <w:p>
      <w:pPr>
        <w:pStyle w:val="Heading3"/>
      </w:pPr>
      <w:r>
        <w:t>4.2 Contractul la prestările de servicii</w:t>
      </w:r>
    </w:p>
    <w:p>
      <w:pPr>
        <w:jc w:val="both"/>
      </w:pPr>
      <w:r>
        <w:t xml:space="preserve">La prestări de servicii trebuie să existe </w:t>
      </w:r>
      <w:r>
        <w:rPr>
          <w:b/>
        </w:rPr>
        <w:t>contract</w:t>
      </w:r>
      <w:r>
        <w:t xml:space="preserve">. Factura este documentul fiscal; contractul detaliază </w:t>
      </w:r>
      <w:r>
        <w:rPr>
          <w:b/>
        </w:rPr>
        <w:t>cum interacționezi cu partenerul</w:t>
      </w:r>
      <w:r>
        <w:t>.</w:t>
      </w:r>
    </w:p>
    <w:p>
      <w:pPr>
        <w:ind w:left="360"/>
      </w:pPr>
      <w:r>
        <w:rPr>
          <w:i/>
          <w:color w:val="5D6E7E"/>
        </w:rPr>
        <w:t xml:space="preserve">Nuanță: cerința expresă de a avea contract pentru servicii de management și consultanță, din vechiul Cod fiscal, a fost abrogată. Codul fiscal actual (art. 25 alin. 1) cere ca o cheltuială să fie efectuată </w:t>
      </w:r>
      <w:r>
        <w:rPr>
          <w:b/>
          <w:i/>
          <w:color w:val="5D6E7E"/>
        </w:rPr>
        <w:t>în scopul desfășurării activității economice</w:t>
      </w:r>
      <w:r>
        <w:rPr>
          <w:i/>
          <w:color w:val="5D6E7E"/>
        </w:rPr>
        <w:t xml:space="preserve"> și susținută cu documente justificative. Contractul rămâne principalul mijloc de probă la control — deci, practic, indispensabil.</w:t>
      </w:r>
    </w:p>
    <w:p>
      <w:pPr>
        <w:pStyle w:val="Heading3"/>
      </w:pPr>
      <w:r>
        <w:t>4.3 Cazul penalităților — de reținut</w:t>
      </w:r>
    </w:p>
    <w:p>
      <w:pPr>
        <w:jc w:val="both"/>
      </w:pPr>
      <w:r>
        <w:t>O firmă de construcții a avut contract de livrare cu un client. Clientul nu a mai achitat. În contract, la capitolul penalități, erau trecute sume foarte mari — pe care firma nu le-a mai facturat și nu le-a trecut la venituri.</w:t>
      </w:r>
    </w:p>
    <w:p>
      <w:pPr>
        <w:jc w:val="both"/>
      </w:pPr>
      <w:r>
        <w:t xml:space="preserve">ANAF a constatat că firma </w:t>
      </w:r>
      <w:r>
        <w:rPr>
          <w:b/>
        </w:rPr>
        <w:t>nu și-a respectat propriul contract</w:t>
      </w:r>
      <w:r>
        <w:t>, a calculat venituri și majorări pentru soldurile neîncasate, iar firma a rămas și fără venit, și cu bani dați la stat.</w:t>
      </w:r>
    </w:p>
    <w:p>
      <w:pPr>
        <w:jc w:val="both"/>
      </w:pPr>
      <w:r>
        <w:rPr>
          <w:b/>
        </w:rPr>
        <w:t>Concluzie:</w:t>
      </w:r>
      <w:r>
        <w:t xml:space="preserve"> în contracte se trec </w:t>
      </w:r>
      <w:r>
        <w:rPr>
          <w:b/>
        </w:rPr>
        <w:t>penalități realiste</w:t>
      </w:r>
      <w:r>
        <w:t>. O clauză de penalitate exagerată nu te protejează — te expune.</w:t>
      </w:r>
    </w:p>
    <w:p>
      <w:pPr>
        <w:pStyle w:val="Heading3"/>
      </w:pPr>
      <w:r>
        <w:t>4.4 Sistemele informatice</w:t>
      </w:r>
    </w:p>
    <w:p>
      <w:pPr>
        <w:jc w:val="both"/>
      </w:pPr>
      <w:r>
        <w:t xml:space="preserve">Programele au ecrane cu o structură în spate care generează notele contabile fără ca tu să le vezi. Dacă ceva pare suspect, instrumentul de verificare este </w:t>
      </w:r>
      <w:r>
        <w:rPr>
          <w:b/>
        </w:rPr>
        <w:t>fișa de cont</w:t>
      </w:r>
      <w:r>
        <w:t>. Nu te baza pe faptul că softul „știe" — mai ales pe conturile bifuncționale.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Răspunsuri la întrebările din notițe</w:t>
      </w:r>
    </w:p>
    <w:p>
      <w:pPr>
        <w:pStyle w:val="Heading3"/>
      </w:pPr>
      <w:r>
        <w:t>6.1 Ce alte corelații se pot face din balanță</w:t>
      </w:r>
    </w:p>
    <w:p>
      <w:pPr>
        <w:jc w:val="both"/>
      </w:pPr>
      <w:r>
        <w:t>Sunt în secțiunea 5. Tiparul e același de fiecare dată și se poate aplica oricărui cont</w:t>
      </w:r>
    </w:p>
    <w:p>
      <w:pPr>
        <w:jc w:val="both"/>
      </w:pPr>
      <w:r>
        <w:t xml:space="preserve">nou: </w:t>
      </w:r>
      <w:r>
        <w:rPr>
          <w:b/>
        </w:rPr>
        <w:t>întreabă ce document extern conține aceeași informație</w:t>
      </w:r>
      <w:r>
        <w:t>, apoi compară.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Documentul care îl confirmă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421 + 423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statul de plată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444, 4315, 4316, 436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D112 și fișa de plătitor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adresa de înființare a popririi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4423 / 4424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decontul de TVA și fișa de 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4426 / 4427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jurnalele de cumpărări și vânzări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5121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extrasul de cont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5311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registrul de casă</w:t>
            </w:r>
          </w:p>
        </w:tc>
      </w:tr>
    </w:tbl>
    <w:p/>
    <w:p>
      <w:pPr>
        <w:jc w:val="both"/>
      </w:pPr>
      <w:r>
        <w:t>Un cont fără document extern care să-l confirme e un cont pe care nu îl poți verifica</w:t>
      </w:r>
    </w:p>
    <w:p>
      <w:pPr>
        <w:jc w:val="both"/>
      </w:pPr>
      <w:r>
        <w:t>decât intern — și de aceea conturile de tranzit (473, 581) trebuie să ajungă la zero, nu</w:t>
      </w:r>
    </w:p>
    <w:p>
      <w:pPr>
        <w:jc w:val="both"/>
      </w:pPr>
      <w:r>
        <w:t>verificate: ele n-au corespondent afară.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B — Checklist practic</w:t>
      </w:r>
    </w:p>
    <w:p>
      <w:pPr>
        <w:pStyle w:val="ListNumber"/>
      </w:pPr>
      <w:r>
        <w:rPr>
          <w:b/>
        </w:rPr>
        <w:t>Confuzia 5121 / 5311 / 5111.</w:t>
      </w:r>
      <w:r>
        <w:t xml:space="preserve"> 5121 = bancă, 5311 = casa în lei, 5111 = </w:t>
      </w:r>
      <w:r>
        <w:rPr>
          <w:i/>
        </w:rPr>
        <w:t>cecuri de încasat</w:t>
      </w:r>
      <w:r>
        <w:t xml:space="preserve">. Orice plată bancară — inclusiv prin ordin de plată — trece prin </w:t>
      </w:r>
      <w:r>
        <w:rPr>
          <w:b/>
        </w:rPr>
        <w:t>5121</w:t>
      </w:r>
      <w:r>
        <w:t>.</w:t>
      </w:r>
    </w:p>
    <w:p>
      <w:pPr>
        <w:pStyle w:val="ListNumber"/>
      </w:pPr>
      <w:r>
        <w:rPr>
          <w:b/>
        </w:rPr>
        <w:t>Impozitul pe profit calculat pe baza greșită.</w:t>
      </w:r>
      <w:r>
        <w:t xml:space="preserve"> Soldul creditor al lui 121 este </w:t>
      </w:r>
      <w:r>
        <w:rPr>
          <w:b/>
        </w:rPr>
        <w:t>baza</w:t>
      </w:r>
      <w:r>
        <w:t>, nu impozitul. Impozitul este 16% din el.</w:t>
      </w:r>
    </w:p>
    <w:p>
      <w:pPr>
        <w:pStyle w:val="ListNumber"/>
      </w:pPr>
      <w:r>
        <w:rPr>
          <w:b/>
        </w:rPr>
        <w:t>Sensul lui 4428.</w:t>
      </w:r>
      <w:r>
        <w:t xml:space="preserve"> Debitor la achiziții pe aviz (</w:t>
      </w:r>
      <w:r>
        <w:rPr>
          <w:rFonts w:ascii="Consolas" w:hAnsi="Consolas"/>
          <w:color w:val="1F4E79"/>
          <w:sz w:val="19"/>
        </w:rPr>
        <w:t>4428 = 408</w:t>
      </w:r>
      <w:r>
        <w:t>), creditor la livrări pe aviz (</w:t>
      </w:r>
      <w:r>
        <w:rPr>
          <w:rFonts w:ascii="Consolas" w:hAnsi="Consolas"/>
          <w:color w:val="1F4E79"/>
          <w:sz w:val="19"/>
        </w:rPr>
        <w:t>418 = 4428</w:t>
      </w:r>
      <w:r>
        <w:t>) și la mărfuri la preț cu amănuntul (</w:t>
      </w:r>
      <w:r>
        <w:rPr>
          <w:rFonts w:ascii="Consolas" w:hAnsi="Consolas"/>
          <w:color w:val="1F4E79"/>
          <w:sz w:val="19"/>
        </w:rPr>
        <w:t>371 = 4428</w:t>
      </w:r>
      <w:r>
        <w:t>). Fără analitice, softul le amestecă.</w:t>
      </w:r>
    </w:p>
    <w:p>
      <w:pPr>
        <w:pStyle w:val="ListNumber"/>
      </w:pPr>
      <w:r>
        <w:rPr>
          <w:b/>
        </w:rPr>
        <w:t>Uitarea pasului `408 = 4428`.</w:t>
      </w:r>
      <w:r>
        <w:t xml:space="preserve"> Fără el, ambele conturi rămân umflate reciproc la infinit.</w:t>
      </w:r>
    </w:p>
    <w:p>
      <w:pPr>
        <w:pStyle w:val="ListNumber"/>
      </w:pPr>
      <w:r>
        <w:rPr>
          <w:b/>
        </w:rPr>
        <w:t>Dublarea gestiunii prin 408.</w:t>
      </w:r>
      <w:r>
        <w:t xml:space="preserve"> Factura care nu menționează numărul avizului este cauza clasică. Se verifică împerecherea aviz–factură.</w:t>
      </w:r>
    </w:p>
    <w:p>
      <w:pPr>
        <w:pStyle w:val="ListNumber"/>
      </w:pPr>
      <w:r>
        <w:rPr>
          <w:b/>
        </w:rPr>
        <w:t>TVA neexigibilă calculată pe bază greșită</w:t>
      </w:r>
      <w:r>
        <w:t xml:space="preserve"> la mărfuri: se aplică la </w:t>
      </w:r>
      <w:r>
        <w:rPr>
          <w:b/>
        </w:rPr>
        <w:t>cost + adaos</w:t>
      </w:r>
      <w:r>
        <w:t>, nu la cost.</w:t>
      </w:r>
    </w:p>
    <w:p>
      <w:pPr>
        <w:pStyle w:val="ListNumber"/>
      </w:pPr>
      <w:r>
        <w:rPr>
          <w:b/>
        </w:rPr>
        <w:t>Ajustările pentru deprecierea stocurilor tratate ca deductibile.</w:t>
      </w:r>
      <w:r>
        <w:t xml:space="preserve"> Sunt nedeductibile; reluarea lor e neimpozabilă. Nu confunda cu ajustările pentru creanțe.</w:t>
      </w:r>
    </w:p>
    <w:p>
      <w:pPr>
        <w:pStyle w:val="ListNumber"/>
      </w:pPr>
      <w:r>
        <w:rPr>
          <w:b/>
        </w:rPr>
        <w:t>Uitarea scoaterii din evidență la vânzarea unui mijloc fix.</w:t>
      </w:r>
      <w:r>
        <w:t xml:space="preserve"> Facturarea (7583) nu e suficientă — trebuie și </w:t>
      </w:r>
      <w:r>
        <w:rPr>
          <w:rFonts w:ascii="Consolas" w:hAnsi="Consolas"/>
          <w:color w:val="1F4E79"/>
          <w:sz w:val="19"/>
        </w:rPr>
        <w:t>2813 = 213</w:t>
      </w:r>
      <w:r>
        <w:t xml:space="preserve"> plus </w:t>
      </w:r>
      <w:r>
        <w:rPr>
          <w:rFonts w:ascii="Consolas" w:hAnsi="Consolas"/>
          <w:color w:val="1F4E79"/>
          <w:sz w:val="19"/>
        </w:rPr>
        <w:t>6583 = 213</w:t>
      </w:r>
      <w:r>
        <w:t>.</w:t>
      </w:r>
    </w:p>
    <w:p>
      <w:pPr>
        <w:pStyle w:val="ListNumber"/>
      </w:pPr>
      <w:r>
        <w:rPr>
          <w:b/>
        </w:rPr>
        <w:t>Diferențe de curs pe avansuri.</w:t>
      </w:r>
      <w:r>
        <w:t xml:space="preserve"> Nu se calculează. Stornarea se face la cursul de la data avansului.</w:t>
      </w:r>
    </w:p>
    <w:p>
      <w:pPr>
        <w:pStyle w:val="ListNumber"/>
      </w:pPr>
      <w:r>
        <w:rPr>
          <w:b/>
        </w:rPr>
        <w:t>Încasarea în plus pusă pe 472.</w:t>
      </w:r>
      <w:r>
        <w:t xml:space="preserve"> Nu este venit — este avans (419) și cere colectare de TVA.</w:t>
      </w:r>
    </w:p>
    <w:p>
      <w:pPr>
        <w:pStyle w:val="ListNumber"/>
      </w:pPr>
      <w:r>
        <w:rPr>
          <w:b/>
        </w:rPr>
        <w:t>Conturi cu sold contrar naturii lor</w:t>
      </w:r>
      <w:r>
        <w:t xml:space="preserve"> (401 debitor, 4111 creditor) — aproape întotdeauna semn de eroare sau de avans neînregistrat corect.</w:t>
      </w:r>
    </w:p>
    <w:p>
      <w:pPr>
        <w:pStyle w:val="ListNumber"/>
      </w:pPr>
      <w:r>
        <w:rPr>
          <w:b/>
        </w:rPr>
        <w:t>473 și 581 cu sold la închidere.</w:t>
      </w:r>
      <w:r>
        <w:t xml:space="preserve"> Ambele trebuie golite; un sold acolo ascunde o operațiune neterminată.</w:t>
      </w:r>
    </w:p>
    <w:p>
      <w:pPr>
        <w:pStyle w:val="ListNumber"/>
      </w:pPr>
      <w:r>
        <w:rPr>
          <w:b/>
        </w:rPr>
        <w:t>Penalități contractuale nerealiste.</w:t>
      </w:r>
      <w:r>
        <w:t xml:space="preserve"> Dacă nu le facturezi, ANAF le poate impune ca venit. Vezi 9.3.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jc w:val="both"/>
      </w:pPr>
      <w:r>
        <w:t xml:space="preserve">Ce e încă provizoriu în documentul ăsta. Lista nu e scrisă aici: vine din </w:t>
      </w:r>
      <w:r>
        <w:rPr>
          <w:rFonts w:ascii="Consolas" w:hAnsi="Consolas"/>
          <w:color w:val="1F4E79"/>
          <w:sz w:val="19"/>
        </w:rPr>
        <w:t>date/intrebari.py</w:t>
      </w:r>
      <w:r>
        <w:t>, aceeași sursă cu foaia „Întrebări deschise” a workbook-ului și cu lista trimisibilă formatorului.</w:t>
      </w:r>
    </w:p>
    <w:p>
      <w:pPr>
        <w:jc w:val="both"/>
      </w:pPr>
      <w:r>
        <w:rPr>
          <w:b/>
        </w:rPr>
        <w:t>❓ Programul de contabilitate extrage automat TVA-ul din diferența trecută pe 419 la o încasare mai mare decât factura, sau trebuie forțat manual?</w:t>
      </w:r>
    </w:p>
    <w:p>
      <w:pPr>
        <w:jc w:val="both"/>
      </w:pPr>
      <w:r>
        <w:rPr>
          <w:i/>
        </w:rPr>
        <w:t>Comportamentul softului la încasarea în plus · training 19.08.2026, punctul 3</w:t>
      </w:r>
    </w:p>
    <w:p>
      <w:pPr>
        <w:jc w:val="both"/>
      </w:pPr>
      <w:r>
        <w:t>Suma încasată în plus e TVA-inclusivă: din 5.000 lei ies 4.132,23 bază și 867,77 TVA. Dacă softul nu face extragerea, TVA-ul rămâne necolectat fără ca nimic să semnaleze.</w:t>
      </w:r>
    </w:p>
    <w:p>
      <w:pPr>
        <w:jc w:val="both"/>
      </w:pPr>
      <w:r>
        <w:rPr>
          <w:b/>
        </w:rPr>
        <w:t>Ce am presupus între timp:</w:t>
      </w:r>
      <w:r>
        <w:t xml:space="preserve"> Am scris fluxul cu extragerea explicită a TVA-ului, ca pas separat, tocmai ca să nu depindă de comportamentul softului.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Legea 70/2015</w:t>
      </w:r>
    </w:p>
    <w:p>
      <w:pPr>
        <w:pStyle w:val="ListBullet"/>
      </w:pPr>
      <w:r>
        <w:t>Legea 296/2023</w:t>
      </w:r>
    </w:p>
    <w:p>
      <w:pPr>
        <w:pStyle w:val="ListBullet"/>
      </w:pPr>
      <w:r>
        <w:t>Codul fiscal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25 alin. (1), art. 319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G — Răspunsuri verificate pe surse publice</w:t>
      </w:r>
    </w:p>
    <w:p>
      <w:pPr>
        <w:jc w:val="both"/>
      </w:pPr>
      <w:r>
        <w:t xml:space="preserve">Întrebări care erau deschise și la care am găsit răspuns în lege. Fiecare poartă actul normativ pe care se sprijină și data la care a fost confruntat cu sursele. </w:t>
      </w:r>
      <w:r>
        <w:rPr>
          <w:b/>
        </w:rPr>
        <w:t>De confirmat cu formatorul</w:t>
      </w:r>
      <w:r>
        <w:t xml:space="preserve"> — nu pentru că răspunsul ar fi nesigur, ci pentru că practica poate adăuga ceva ce textul nu spune.</w:t>
      </w:r>
    </w:p>
    <w:p>
      <w:pPr>
        <w:jc w:val="both"/>
      </w:pPr>
      <w:r>
        <w:rPr>
          <w:b/>
        </w:rPr>
        <w:t>✅ Care sunt valorile exacte ale plafoanelor din Legea 70/2015 în forma modificată prin Legea 296/2023, la data operațiunii?</w:t>
      </w:r>
    </w:p>
    <w:p>
      <w:pPr>
        <w:jc w:val="both"/>
      </w:pPr>
      <w:r>
        <w:t xml:space="preserve">Între persoane juridice: </w:t>
      </w:r>
      <w:r>
        <w:rPr>
          <w:b/>
        </w:rPr>
        <w:t>5.000 lei/zi și de persoană</w:t>
      </w:r>
      <w:r>
        <w:t xml:space="preserve">. Magazine cash &amp; carry: 5.000 lei de persoană, dar maximum </w:t>
      </w:r>
      <w:r>
        <w:rPr>
          <w:b/>
        </w:rPr>
        <w:t>10.000 lei total pe zi</w:t>
      </w:r>
      <w:r>
        <w:t xml:space="preserve">; plăți către ele, maximum 10.000 lei/zi. Avansuri spre decontare: </w:t>
      </w:r>
      <w:r>
        <w:rPr>
          <w:b/>
        </w:rPr>
        <w:t>5.000 lei/zi</w:t>
      </w:r>
      <w:r>
        <w:t xml:space="preserve"> pentru fiecare persoană care a primit avansul. </w:t>
      </w:r>
      <w:r>
        <w:rPr>
          <w:b/>
        </w:rPr>
        <w:t>Fragmentarea e interzisă expres</w:t>
      </w:r>
      <w:r>
        <w:t xml:space="preserve"> pentru facturi peste 5.000 lei, respectiv 10.000 la cash &amp; carry. Legea 239/2025 </w:t>
      </w:r>
      <w:r>
        <w:rPr>
          <w:b/>
        </w:rPr>
        <w:t>nu a modificat plafoanele</w:t>
      </w:r>
      <w:r>
        <w:t xml:space="preserve"> de la 1.01.2026, dar a eliminat pragul de 50.000 lei de la care era obligatorie acceptarea cardului și a introdus obligația unui cont de plăți deschis în România.</w:t>
      </w:r>
    </w:p>
    <w:p>
      <w:pPr>
        <w:jc w:val="both"/>
      </w:pPr>
      <w:r>
        <w:rPr>
          <w:i/>
        </w:rPr>
        <w:t>Temei:</w:t>
      </w:r>
      <w:r>
        <w:t xml:space="preserve"> Legea 70/2015, art. 3 și art. 4, în forma modificată prin Legea 296/2023 și Legea 239/2025.</w:t>
      </w:r>
    </w:p>
    <w:p>
      <w:pPr>
        <w:jc w:val="both"/>
      </w:pPr>
      <w:r>
        <w:rPr>
          <w:i/>
        </w:rPr>
        <w:t>Plafoane de numerar și contul 455 · training 19.08.2026, punctul 1 · verificat 21.08.2026</w:t>
      </w:r>
    </w:p>
    <w:p>
      <w:pPr>
        <w:jc w:val="both"/>
      </w:pPr>
      <w:r>
        <w:rPr>
          <w:b/>
        </w:rPr>
        <w:t>✅ Care sunt exact operațiunile în numerar interzise pe contul 455 și care e temeiul legal?</w:t>
      </w:r>
    </w:p>
    <w:p>
      <w:pPr>
        <w:jc w:val="both"/>
      </w:pPr>
      <w:r>
        <w:t xml:space="preserve">Nu e un plafon, e o </w:t>
      </w:r>
      <w:r>
        <w:rPr>
          <w:b/>
        </w:rPr>
        <w:t>interdicție</w:t>
      </w:r>
      <w:r>
        <w:t xml:space="preserve">. Din </w:t>
      </w:r>
      <w:r>
        <w:rPr>
          <w:b/>
        </w:rPr>
        <w:t>11 noiembrie 2023</w:t>
      </w:r>
      <w:r>
        <w:t xml:space="preserve">, încasările și plățile reprezentând împrumuturi — indiferent de sumă — de la sau către asociați, acționari, administratori și alte persoane fizice </w:t>
      </w:r>
      <w:r>
        <w:rPr>
          <w:b/>
        </w:rPr>
        <w:t>nu se mai pot face în numerar</w:t>
      </w:r>
      <w:r>
        <w:t xml:space="preserve">, ci doar prin instrumente de plată fără numerar. Înalta Curte a stabilit că amenda de 25% se calculează la </w:t>
      </w:r>
      <w:r>
        <w:rPr>
          <w:b/>
        </w:rPr>
        <w:t>totalul operațiunilor</w:t>
      </w:r>
      <w:r>
        <w:t>, nu la depășirea unui plafon.</w:t>
      </w:r>
    </w:p>
    <w:p>
      <w:pPr>
        <w:jc w:val="both"/>
      </w:pPr>
      <w:r>
        <w:rPr>
          <w:i/>
        </w:rPr>
        <w:t>Temei:</w:t>
      </w:r>
      <w:r>
        <w:t xml:space="preserve"> Legea 70/2015 modificată prin Legea 296/2023, în vigoare din 11.11.2023. Cuantumul amenzii — jurisprudența ÎCCJ.</w:t>
      </w:r>
    </w:p>
    <w:p>
      <w:pPr>
        <w:jc w:val="both"/>
      </w:pPr>
      <w:r>
        <w:rPr>
          <w:i/>
        </w:rPr>
        <w:t>Plafoane de numerar și contul 455 · training 19.08.2026, punctul 2 · verificat 21.08.2026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Singurul document care nu vine dintr-o zi de training proprie: e partea din 19.08.2026 care nu adâncea niciun subiect existent.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