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Notițe training — 14.08.2026</w:t>
      </w:r>
    </w:p>
    <w:p>
      <w:fldSimple w:instr="TOC \o &quot;1-2&quot; \h \z \u">
        <w:r>
          <w:t>Cuprinsul se generează la deschiderea în Word (Ctrl+A, apoi F9).</w:t>
        </w:r>
      </w:fldSimple>
    </w:p>
    <w:p>
      <w:pPr>
        <w:pStyle w:val="Heading3"/>
      </w:pPr>
      <w:r>
        <w:t>Stocuri (clasa 3), TVA și corelații de balanță — versiune revizuită</w:t>
      </w:r>
    </w:p>
    <w:p>
      <w:pPr>
        <w:spacing w:before="40" w:after="160"/>
        <w:pBdr>
          <w:bottom w:val="single" w:sz="6" w:color="DBE3EA"/>
        </w:pBdr>
      </w:pPr>
    </w:p>
    <w:p>
      <w:pPr>
        <w:spacing w:before="40" w:after="160"/>
        <w:pBdr>
          <w:bottom w:val="single" w:sz="6" w:color="DBE3EA"/>
        </w:pBdr>
      </w:pPr>
    </w:p>
    <w:p>
      <w:pPr>
        <w:pStyle w:val="Heading2"/>
      </w:pPr>
      <w:r>
        <w:t>Cum citești acest document</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Marcaj</w:t>
            </w:r>
          </w:p>
        </w:tc>
        <w:tc>
          <w:tcPr>
            <w:tcW w:type="dxa" w:w="4320"/>
          </w:tcPr>
          <w:p>
            <w:pPr>
              <w:spacing w:after="40"/>
            </w:pPr>
            <w:r>
              <w:rPr>
                <w:b/>
                <w:sz w:val="18"/>
              </w:rPr>
            </w:r>
            <w:r>
              <w:rPr>
                <w:b/>
                <w:sz w:val="18"/>
              </w:rPr>
              <w:t>Semnificație</w:t>
            </w:r>
          </w:p>
        </w:tc>
      </w:tr>
      <w:tr>
        <w:tc>
          <w:tcPr>
            <w:tcW w:type="dxa" w:w="4320"/>
          </w:tcPr>
          <w:p>
            <w:pPr>
              <w:spacing w:after="40"/>
            </w:pPr>
            <w:r>
              <w:rPr>
                <w:sz w:val="18"/>
              </w:rPr>
            </w:r>
            <w:r>
              <w:rPr>
                <w:sz w:val="18"/>
              </w:rPr>
              <w:t>✅</w:t>
            </w:r>
          </w:p>
        </w:tc>
        <w:tc>
          <w:tcPr>
            <w:tcW w:type="dxa" w:w="4320"/>
          </w:tcPr>
          <w:p>
            <w:pPr>
              <w:spacing w:after="40"/>
            </w:pPr>
            <w:r>
              <w:rPr>
                <w:sz w:val="18"/>
              </w:rPr>
            </w:r>
            <w:r>
              <w:rPr>
                <w:sz w:val="18"/>
              </w:rPr>
              <w:t>Notița originală era corectă — doar reformulată/completată</w:t>
            </w:r>
          </w:p>
        </w:tc>
      </w:tr>
      <w:tr>
        <w:tc>
          <w:tcPr>
            <w:tcW w:type="dxa" w:w="4320"/>
          </w:tcPr>
          <w:p>
            <w:pPr>
              <w:spacing w:after="40"/>
            </w:pPr>
            <w:r>
              <w:rPr>
                <w:sz w:val="18"/>
              </w:rPr>
            </w:r>
            <w:r>
              <w:rPr>
                <w:sz w:val="18"/>
              </w:rPr>
              <w:t>⚠️</w:t>
            </w:r>
          </w:p>
        </w:tc>
        <w:tc>
          <w:tcPr>
            <w:tcW w:type="dxa" w:w="4320"/>
          </w:tcPr>
          <w:p>
            <w:pPr>
              <w:spacing w:after="40"/>
            </w:pPr>
            <w:r>
              <w:rPr>
                <w:sz w:val="18"/>
              </w:rPr>
            </w:r>
            <w:r>
              <w:rPr>
                <w:b/>
                <w:sz w:val="18"/>
              </w:rPr>
              <w:t>Eroare în notița originală</w:t>
            </w:r>
            <w:r>
              <w:rPr>
                <w:sz w:val="18"/>
              </w:rPr>
              <w:t xml:space="preserve"> — corectată aici, cu explicație</w:t>
            </w:r>
          </w:p>
        </w:tc>
      </w:tr>
      <w:tr>
        <w:tc>
          <w:tcPr>
            <w:tcW w:type="dxa" w:w="4320"/>
          </w:tcPr>
          <w:p>
            <w:pPr>
              <w:spacing w:after="40"/>
            </w:pPr>
            <w:r>
              <w:rPr>
                <w:sz w:val="18"/>
              </w:rPr>
            </w:r>
            <w:r>
              <w:rPr>
                <w:sz w:val="18"/>
              </w:rPr>
              <w:t>➕</w:t>
            </w:r>
          </w:p>
        </w:tc>
        <w:tc>
          <w:tcPr>
            <w:tcW w:type="dxa" w:w="4320"/>
          </w:tcPr>
          <w:p>
            <w:pPr>
              <w:spacing w:after="40"/>
            </w:pPr>
            <w:r>
              <w:rPr>
                <w:sz w:val="18"/>
              </w:rPr>
            </w:r>
            <w:r>
              <w:rPr>
                <w:sz w:val="18"/>
              </w:rPr>
              <w:t>Completare (lucru care lipsea, dar era necesar ca raționamentul să stea în picioare)</w:t>
            </w:r>
          </w:p>
        </w:tc>
      </w:tr>
      <w:tr>
        <w:tc>
          <w:tcPr>
            <w:tcW w:type="dxa" w:w="4320"/>
          </w:tcPr>
          <w:p>
            <w:pPr>
              <w:spacing w:after="40"/>
            </w:pPr>
            <w:r>
              <w:rPr>
                <w:sz w:val="18"/>
              </w:rPr>
            </w:r>
            <w:r>
              <w:rPr>
                <w:sz w:val="18"/>
              </w:rPr>
              <w:t>❓</w:t>
            </w:r>
          </w:p>
        </w:tc>
        <w:tc>
          <w:tcPr>
            <w:tcW w:type="dxa" w:w="4320"/>
          </w:tcPr>
          <w:p>
            <w:pPr>
              <w:spacing w:after="40"/>
            </w:pPr>
            <w:r>
              <w:rPr>
                <w:sz w:val="18"/>
              </w:rPr>
            </w:r>
            <w:r>
              <w:rPr>
                <w:sz w:val="18"/>
              </w:rPr>
              <w:t>Rămas deschis — de clarificat cu formatorul (vezi Anexa D)</w:t>
            </w:r>
          </w:p>
        </w:tc>
      </w:tr>
    </w:tbl>
    <w:p/>
    <w:p>
      <w:pPr>
        <w:jc w:val="both"/>
      </w:pPr>
      <w:r>
        <w:rPr>
          <w:b/>
        </w:rPr>
        <w:t>Cote de TVA folosite peste tot:</w:t>
      </w:r>
      <w:r>
        <w:t xml:space="preserve"> 21% standard / 11% redusă (Legea 141/2025, în vigoare de la 01.08.2025). Regim tranzitoriu 9% pentru locuințe doar până la 31.07.2026.</w:t>
      </w:r>
    </w:p>
    <w:p>
      <w:pPr>
        <w:jc w:val="both"/>
      </w:pPr>
      <w:r>
        <w:rPr>
          <w:b/>
        </w:rPr>
        <w:t>Atenție generală:</w:t>
      </w:r>
      <w:r>
        <w:t xml:space="preserve"> cifrele fiscale din acest document (praguri, cote, contribuții) sunt valabile la data trainingului. Sunt exact genul de lucruri care se schimbă prin OUG peste noapte — reverifică înainte să le aplici la un client.</w:t>
      </w:r>
    </w:p>
    <w:p>
      <w:pPr>
        <w:spacing w:before="40" w:after="160"/>
        <w:pBdr>
          <w:bottom w:val="single" w:sz="6" w:color="DBE3EA"/>
        </w:pBdr>
      </w:pPr>
    </w:p>
    <w:p>
      <w:pPr>
        <w:pStyle w:val="Heading2"/>
      </w:pPr>
      <w:r>
        <w:t>0. Harta subiectelor</w:t>
      </w:r>
    </w:p>
    <w:p>
      <w:pPr>
        <w:ind w:left="280"/>
      </w:pPr>
      <w:r>
        <w:rPr>
          <w:rFonts w:ascii="Consolas" w:hAnsi="Consolas"/>
          <w:sz w:val="18"/>
        </w:rPr>
        <w:t>CLASA 3 (stocuri)</w:t>
        <w:br/>
        <w:t>│</w:t>
        <w:br/>
        <w:t>├── 30x  Materii prime / materiale / obiecte de inventar</w:t>
        <w:br/>
        <w:t>│         └── legătura cu 60x și cu 8035</w:t>
        <w:br/>
        <w:t>├── 32x  Stocuri în curs de aprovizionare</w:t>
        <w:br/>
        <w:t>├── 33x  Producție în curs de execuție ──┐</w:t>
        <w:br/>
        <w:t>├── 34x  Produse (finite, reziduale)  ───┤── legătura cu 711/712</w:t>
        <w:br/>
        <w:t>├── 37x  Mărfuri ────────────────────────┘   și cu 378 / 4428</w:t>
        <w:br/>
        <w:t>└── 38x  Ambalaje ── obligații de mediu (AFM)</w:t>
        <w:br/>
        <w:br/>
        <w:t>TRANSVERSAL: regimul de TVA (4426 / 4427 / 4428 / 4423 / 4424)</w:t>
        <w:br/>
        <w:t xml:space="preserve">             + jurnalele de cumpărări și vânzări</w:t>
      </w:r>
    </w:p>
    <w:p>
      <w:pPr>
        <w:spacing w:before="40" w:after="160"/>
        <w:pBdr>
          <w:bottom w:val="single" w:sz="6" w:color="DBE3EA"/>
        </w:pBdr>
      </w:pPr>
    </w:p>
    <w:p>
      <w:pPr>
        <w:pStyle w:val="Heading2"/>
      </w:pPr>
      <w:r>
        <w:t>1. Clasa 3 — cadrul general</w:t>
      </w:r>
    </w:p>
    <w:p>
      <w:pPr>
        <w:jc w:val="both"/>
      </w:pPr>
      <w:r>
        <w:t xml:space="preserve">✅ Conturile de clasa 3 sunt, în principiu, </w:t>
      </w:r>
      <w:r>
        <w:rPr>
          <w:b/>
        </w:rPr>
        <w:t>conturi de activ</w:t>
      </w:r>
      <w:r>
        <w:t>: cresc în debit la intrare, scad în credit la ieșire.</w:t>
      </w:r>
    </w:p>
    <w:p>
      <w:pPr>
        <w:jc w:val="both"/>
      </w:pPr>
      <w:r>
        <w:t xml:space="preserve">⚠️ </w:t>
      </w:r>
      <w:r>
        <w:rPr>
          <w:b/>
        </w:rPr>
        <w:t>Nuanță care lipsea:</w:t>
      </w:r>
      <w:r>
        <w:t xml:space="preserve"> nu toate. În clasa 3 există și conturi </w:t>
      </w:r>
      <w:r>
        <w:rPr>
          <w:b/>
        </w:rPr>
        <w:t>rectificative</w:t>
      </w:r>
      <w:r>
        <w:t>, cu funcție de pasiv:</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Cont</w:t>
            </w:r>
          </w:p>
        </w:tc>
        <w:tc>
          <w:tcPr>
            <w:tcW w:type="dxa" w:w="2880"/>
          </w:tcPr>
          <w:p>
            <w:pPr>
              <w:spacing w:after="40"/>
            </w:pPr>
            <w:r>
              <w:rPr>
                <w:b/>
                <w:sz w:val="18"/>
              </w:rPr>
            </w:r>
            <w:r>
              <w:rPr>
                <w:b/>
                <w:sz w:val="18"/>
              </w:rPr>
              <w:t>Denumire</w:t>
            </w:r>
          </w:p>
        </w:tc>
        <w:tc>
          <w:tcPr>
            <w:tcW w:type="dxa" w:w="2880"/>
          </w:tcPr>
          <w:p>
            <w:pPr>
              <w:spacing w:after="40"/>
            </w:pPr>
            <w:r>
              <w:rPr>
                <w:b/>
                <w:sz w:val="18"/>
              </w:rPr>
            </w:r>
            <w:r>
              <w:rPr>
                <w:b/>
                <w:sz w:val="18"/>
              </w:rPr>
              <w:t>Funcție</w:t>
            </w:r>
          </w:p>
        </w:tc>
      </w:tr>
      <w:tr>
        <w:tc>
          <w:tcPr>
            <w:tcW w:type="dxa" w:w="2880"/>
          </w:tcPr>
          <w:p>
            <w:pPr>
              <w:spacing w:after="40"/>
            </w:pPr>
            <w:r>
              <w:rPr>
                <w:sz w:val="18"/>
              </w:rPr>
            </w:r>
            <w:r>
              <w:rPr>
                <w:sz w:val="18"/>
              </w:rPr>
              <w:t>378</w:t>
            </w:r>
          </w:p>
        </w:tc>
        <w:tc>
          <w:tcPr>
            <w:tcW w:type="dxa" w:w="2880"/>
          </w:tcPr>
          <w:p>
            <w:pPr>
              <w:spacing w:after="40"/>
            </w:pPr>
            <w:r>
              <w:rPr>
                <w:sz w:val="18"/>
              </w:rPr>
            </w:r>
            <w:r>
              <w:rPr>
                <w:sz w:val="18"/>
              </w:rPr>
              <w:t>Diferențe de preț la mărfuri (adaos comercial)</w:t>
            </w:r>
          </w:p>
        </w:tc>
        <w:tc>
          <w:tcPr>
            <w:tcW w:type="dxa" w:w="2880"/>
          </w:tcPr>
          <w:p>
            <w:pPr>
              <w:spacing w:after="40"/>
            </w:pPr>
            <w:r>
              <w:rPr>
                <w:sz w:val="18"/>
              </w:rPr>
            </w:r>
            <w:r>
              <w:rPr>
                <w:sz w:val="18"/>
              </w:rPr>
              <w:t xml:space="preserve">rectificativ, sold </w:t>
            </w:r>
            <w:r>
              <w:rPr>
                <w:b/>
                <w:sz w:val="18"/>
              </w:rPr>
              <w:t>creditor</w:t>
            </w:r>
          </w:p>
        </w:tc>
      </w:tr>
      <w:tr>
        <w:tc>
          <w:tcPr>
            <w:tcW w:type="dxa" w:w="2880"/>
          </w:tcPr>
          <w:p>
            <w:pPr>
              <w:spacing w:after="40"/>
            </w:pPr>
            <w:r>
              <w:rPr>
                <w:sz w:val="18"/>
              </w:rPr>
            </w:r>
            <w:r>
              <w:rPr>
                <w:sz w:val="18"/>
              </w:rPr>
              <w:t>388</w:t>
            </w:r>
          </w:p>
        </w:tc>
        <w:tc>
          <w:tcPr>
            <w:tcW w:type="dxa" w:w="2880"/>
          </w:tcPr>
          <w:p>
            <w:pPr>
              <w:spacing w:after="40"/>
            </w:pPr>
            <w:r>
              <w:rPr>
                <w:sz w:val="18"/>
              </w:rPr>
            </w:r>
            <w:r>
              <w:rPr>
                <w:sz w:val="18"/>
              </w:rPr>
              <w:t>Diferențe de preț la ambalaje</w:t>
            </w:r>
          </w:p>
        </w:tc>
        <w:tc>
          <w:tcPr>
            <w:tcW w:type="dxa" w:w="2880"/>
          </w:tcPr>
          <w:p>
            <w:pPr>
              <w:spacing w:after="40"/>
            </w:pPr>
            <w:r>
              <w:rPr>
                <w:sz w:val="18"/>
              </w:rPr>
            </w:r>
            <w:r>
              <w:rPr>
                <w:sz w:val="18"/>
              </w:rPr>
              <w:t>rectificativ, sold creditor</w:t>
            </w:r>
          </w:p>
        </w:tc>
      </w:tr>
      <w:tr>
        <w:tc>
          <w:tcPr>
            <w:tcW w:type="dxa" w:w="2880"/>
          </w:tcPr>
          <w:p>
            <w:pPr>
              <w:spacing w:after="40"/>
            </w:pPr>
            <w:r>
              <w:rPr>
                <w:sz w:val="18"/>
              </w:rPr>
            </w:r>
            <w:r>
              <w:rPr>
                <w:sz w:val="18"/>
              </w:rPr>
              <w:t>348</w:t>
            </w:r>
          </w:p>
        </w:tc>
        <w:tc>
          <w:tcPr>
            <w:tcW w:type="dxa" w:w="2880"/>
          </w:tcPr>
          <w:p>
            <w:pPr>
              <w:spacing w:after="40"/>
            </w:pPr>
            <w:r>
              <w:rPr>
                <w:sz w:val="18"/>
              </w:rPr>
            </w:r>
            <w:r>
              <w:rPr>
                <w:sz w:val="18"/>
              </w:rPr>
              <w:t>Diferențe de preț la produse</w:t>
            </w:r>
          </w:p>
        </w:tc>
        <w:tc>
          <w:tcPr>
            <w:tcW w:type="dxa" w:w="2880"/>
          </w:tcPr>
          <w:p>
            <w:pPr>
              <w:spacing w:after="40"/>
            </w:pPr>
            <w:r>
              <w:rPr>
                <w:sz w:val="18"/>
              </w:rPr>
            </w:r>
            <w:r>
              <w:rPr>
                <w:sz w:val="18"/>
              </w:rPr>
              <w:t>bifuncțional</w:t>
            </w:r>
          </w:p>
        </w:tc>
      </w:tr>
      <w:tr>
        <w:tc>
          <w:tcPr>
            <w:tcW w:type="dxa" w:w="2880"/>
          </w:tcPr>
          <w:p>
            <w:pPr>
              <w:spacing w:after="40"/>
            </w:pPr>
            <w:r>
              <w:rPr>
                <w:sz w:val="18"/>
              </w:rPr>
            </w:r>
            <w:r>
              <w:rPr>
                <w:sz w:val="18"/>
              </w:rPr>
              <w:t>39x</w:t>
            </w:r>
          </w:p>
        </w:tc>
        <w:tc>
          <w:tcPr>
            <w:tcW w:type="dxa" w:w="2880"/>
          </w:tcPr>
          <w:p>
            <w:pPr>
              <w:spacing w:after="40"/>
            </w:pPr>
            <w:r>
              <w:rPr>
                <w:sz w:val="18"/>
              </w:rPr>
            </w:r>
            <w:r>
              <w:rPr>
                <w:sz w:val="18"/>
              </w:rPr>
              <w:t>Ajustări pentru deprecierea stocurilor</w:t>
            </w:r>
          </w:p>
        </w:tc>
        <w:tc>
          <w:tcPr>
            <w:tcW w:type="dxa" w:w="2880"/>
          </w:tcPr>
          <w:p>
            <w:pPr>
              <w:spacing w:after="40"/>
            </w:pPr>
            <w:r>
              <w:rPr>
                <w:sz w:val="18"/>
              </w:rPr>
            </w:r>
            <w:r>
              <w:rPr>
                <w:sz w:val="18"/>
              </w:rPr>
              <w:t>rectificativ, sold creditor</w:t>
            </w:r>
          </w:p>
        </w:tc>
      </w:tr>
    </w:tbl>
    <w:p/>
    <w:p>
      <w:pPr>
        <w:jc w:val="both"/>
      </w:pPr>
      <w:r>
        <w:t xml:space="preserve">Deci: </w:t>
      </w:r>
      <w:r>
        <w:rPr>
          <w:b/>
        </w:rPr>
        <w:t>371 (activ) – 378 (rectificativ) – 4428 (rectificativ) = valoarea reală a mărfii la cost de achiziție.</w:t>
      </w:r>
      <w:r>
        <w:t xml:space="preserve"> Ține minte formula asta, e coloana vertebrală a capitolului despre gestiunea cu amănuntul (cap. 8).</w:t>
      </w:r>
    </w:p>
    <w:p>
      <w:pPr>
        <w:spacing w:before="40" w:after="160"/>
        <w:pBdr>
          <w:bottom w:val="single" w:sz="6" w:color="DBE3EA"/>
        </w:pBdr>
      </w:pPr>
    </w:p>
    <w:p>
      <w:pPr>
        <w:pStyle w:val="Heading2"/>
      </w:pPr>
      <w:r>
        <w:t>2. Achiziția de stocuri și regimul de TVA</w:t>
      </w:r>
    </w:p>
    <w:p>
      <w:pPr>
        <w:jc w:val="both"/>
      </w:pPr>
      <w:r>
        <w:t xml:space="preserve">Contul-pereche standard: </w:t>
      </w:r>
      <w:r>
        <w:rPr>
          <w:b/>
        </w:rPr>
        <w:t>301 „Materii prime" ↔ 401 „Furnizori"</w:t>
      </w:r>
      <w:r>
        <w:t>.</w:t>
      </w:r>
    </w:p>
    <w:p>
      <w:pPr>
        <w:pStyle w:val="Heading3"/>
      </w:pPr>
      <w:r>
        <w:t>2.1 Cele trei regimuri — formulele complete</w:t>
      </w:r>
    </w:p>
    <w:p>
      <w:pPr>
        <w:jc w:val="both"/>
      </w:pPr>
      <w:r>
        <w:t>⚠️ În notițe formulele erau scrise incomplet (lipsea 4426, iar la taxare inversă 4427 apărea greșit „sub" 401). Forma corectă:</w:t>
      </w:r>
    </w:p>
    <w:p>
      <w:pPr>
        <w:jc w:val="both"/>
      </w:pPr>
      <w:r>
        <w:rPr>
          <w:b/>
        </w:rPr>
        <w:t>a) Achiziție internă, cu TVA (furnizor român, plătitor):</w:t>
      </w:r>
    </w:p>
    <w:p>
      <w:pPr>
        <w:ind w:left="280"/>
      </w:pPr>
      <w:r>
        <w:rPr>
          <w:rFonts w:ascii="Consolas" w:hAnsi="Consolas"/>
          <w:sz w:val="18"/>
        </w:rPr>
        <w:t>%           =  401           121.000</w:t>
        <w:br/>
        <w:t xml:space="preserve">  301                        100.000</w:t>
        <w:br/>
        <w:t xml:space="preserve">  4426                        21.000</w:t>
      </w:r>
    </w:p>
    <w:p>
      <w:pPr>
        <w:jc w:val="both"/>
      </w:pPr>
      <w:r>
        <w:rPr>
          <w:b/>
        </w:rPr>
        <w:t>b) Achiziție intracomunitară / taxare inversă:</w:t>
      </w:r>
    </w:p>
    <w:p>
      <w:pPr>
        <w:ind w:left="280"/>
      </w:pPr>
      <w:r>
        <w:rPr>
          <w:rFonts w:ascii="Consolas" w:hAnsi="Consolas"/>
          <w:sz w:val="18"/>
        </w:rPr>
        <w:t>301         =  401           100.000     (factura vine fără TVA)</w:t>
        <w:br/>
        <w:br/>
        <w:t>și, simultan, autolichidarea:</w:t>
        <w:br/>
        <w:t>4426        =  4427           21.000     (cota din România)</w:t>
      </w:r>
    </w:p>
    <w:p>
      <w:pPr>
        <w:jc w:val="both"/>
      </w:pPr>
      <w:r>
        <w:t xml:space="preserve">➕ Efectul net în decontul de TVA este </w:t>
      </w:r>
      <w:r>
        <w:rPr>
          <w:b/>
        </w:rPr>
        <w:t>zero</w:t>
      </w:r>
      <w:r>
        <w:t>. Asta e ideea măsurii de simplificare: nici tu nu deduci efectiv, nici furnizorul nu colectează, deci nu există bani de recuperat de la stat pe operațiunea asta.</w:t>
      </w:r>
    </w:p>
    <w:p>
      <w:pPr>
        <w:jc w:val="both"/>
      </w:pPr>
      <w:r>
        <w:t>⚠️ Formularea din notițe „</w:t>
      </w:r>
      <w:r>
        <w:rPr>
          <w:i/>
        </w:rPr>
        <w:t>cel care livrează și cel care achiziționează nu mai deduc</w:t>
      </w:r>
      <w:r>
        <w:t xml:space="preserve">" este imprecisă. Corect: </w:t>
      </w:r>
      <w:r>
        <w:rPr>
          <w:b/>
        </w:rPr>
        <w:t>furnizorul nu colectează</w:t>
      </w:r>
      <w:r>
        <w:t xml:space="preserve">, iar </w:t>
      </w:r>
      <w:r>
        <w:rPr>
          <w:b/>
        </w:rPr>
        <w:t>beneficiarul înregistrează simultan și colectat, și deductibil</w:t>
      </w:r>
      <w:r>
        <w:t>. Beneficiarul chiar deduce — dar deducerea e anulată de colectare.</w:t>
      </w:r>
    </w:p>
    <w:p>
      <w:pPr>
        <w:jc w:val="both"/>
      </w:pPr>
      <w:r>
        <w:rPr>
          <w:b/>
        </w:rPr>
        <w:t>c) Scutire (export, livrare intracomunitară, alte scutiri):</w:t>
      </w:r>
    </w:p>
    <w:p>
      <w:pPr>
        <w:ind w:left="280"/>
      </w:pPr>
      <w:r>
        <w:rPr>
          <w:rFonts w:ascii="Consolas" w:hAnsi="Consolas"/>
          <w:sz w:val="18"/>
        </w:rPr>
        <w:t>301         =  401           100.000     (fără TVA deloc)</w:t>
      </w:r>
    </w:p>
    <w:p>
      <w:pPr>
        <w:pStyle w:val="Heading3"/>
      </w:pPr>
      <w:r>
        <w:t>2.2 Verificarea partenerului — de ce contează</w:t>
      </w:r>
    </w:p>
    <w:p>
      <w:pPr>
        <w:jc w:val="both"/>
      </w:pPr>
      <w:r>
        <w:t xml:space="preserve">O firmă poate să </w:t>
      </w:r>
      <w:r>
        <w:rPr>
          <w:b/>
        </w:rPr>
        <w:t>emită în continuare facturi cu TVA înscris pe ele deși codul de TVA i-a fost anulat</w:t>
      </w:r>
      <w:r>
        <w:t xml:space="preserve">. Tu, ca beneficiar, </w:t>
      </w:r>
      <w:r>
        <w:rPr>
          <w:b/>
        </w:rPr>
        <w:t>nu ai drept de deducere</w:t>
      </w:r>
      <w:r>
        <w:t xml:space="preserve"> pe acel TVA (art. 11 Cod fiscal). Paguba e a ta, nu a lui.</w:t>
      </w:r>
    </w:p>
    <w:p>
      <w:pPr>
        <w:jc w:val="both"/>
      </w:pPr>
      <w:r>
        <w:t xml:space="preserve">⚠️ </w:t>
      </w:r>
      <w:r>
        <w:rPr>
          <w:b/>
        </w:rPr>
        <w:t>Corecție importantă:</w:t>
      </w:r>
      <w:r>
        <w:t xml:space="preserve"> notițele spun că ANAF anulează codul dacă nu s-au depus deconturi </w:t>
      </w:r>
      <w:r>
        <w:rPr>
          <w:b/>
        </w:rPr>
        <w:t>2 luni consecutive</w:t>
      </w:r>
      <w:r>
        <w:t>. Fals. Conform art. 316 alin. (11) lit. d) Cod fiscal, termenul este:</w:t>
      </w:r>
    </w:p>
    <w:p>
      <w:pPr>
        <w:pStyle w:val="ListBullet"/>
      </w:pPr>
      <w:r>
        <w:rPr>
          <w:b/>
        </w:rPr>
        <w:t>6 luni consecutive</w:t>
      </w:r>
      <w:r>
        <w:t xml:space="preserve"> — pentru cei cu perioadă fiscală luna;</w:t>
      </w:r>
    </w:p>
    <w:p>
      <w:pPr>
        <w:pStyle w:val="ListBullet"/>
      </w:pPr>
      <w:r>
        <w:rPr>
          <w:b/>
        </w:rPr>
        <w:t>2 trimestre consecutive</w:t>
      </w:r>
      <w:r>
        <w:t xml:space="preserve"> — pentru cei cu perioadă fiscală trimestrul.</w:t>
      </w:r>
    </w:p>
    <w:p>
      <w:pPr>
        <w:jc w:val="both"/>
      </w:pPr>
      <w:r>
        <w:t>(Confuzia vine probabil de la varianta trimestrială, unde „două perioade" înseamnă două trimestre.)</w:t>
      </w:r>
    </w:p>
    <w:p>
      <w:pPr>
        <w:jc w:val="both"/>
      </w:pPr>
      <w:r>
        <w:t>✅ Celelalte cauze de anulare din oficiu menționate sunt corecte. Lista completă (art. 316 alin. 11):</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Lit.</w:t>
            </w:r>
          </w:p>
        </w:tc>
        <w:tc>
          <w:tcPr>
            <w:tcW w:type="dxa" w:w="4320"/>
          </w:tcPr>
          <w:p>
            <w:pPr>
              <w:spacing w:after="40"/>
            </w:pPr>
            <w:r>
              <w:rPr>
                <w:b/>
                <w:sz w:val="18"/>
              </w:rPr>
            </w:r>
            <w:r>
              <w:rPr>
                <w:b/>
                <w:sz w:val="18"/>
              </w:rPr>
              <w:t>Cauză</w:t>
            </w:r>
          </w:p>
        </w:tc>
      </w:tr>
      <w:tr>
        <w:tc>
          <w:tcPr>
            <w:tcW w:type="dxa" w:w="4320"/>
          </w:tcPr>
          <w:p>
            <w:pPr>
              <w:spacing w:after="40"/>
            </w:pPr>
            <w:r>
              <w:rPr>
                <w:sz w:val="18"/>
              </w:rPr>
            </w:r>
            <w:r>
              <w:rPr>
                <w:sz w:val="18"/>
              </w:rPr>
              <w:t>a)</w:t>
            </w:r>
          </w:p>
        </w:tc>
        <w:tc>
          <w:tcPr>
            <w:tcW w:type="dxa" w:w="4320"/>
          </w:tcPr>
          <w:p>
            <w:pPr>
              <w:spacing w:after="40"/>
            </w:pPr>
            <w:r>
              <w:rPr>
                <w:sz w:val="18"/>
              </w:rPr>
            </w:r>
            <w:r>
              <w:rPr>
                <w:sz w:val="18"/>
              </w:rPr>
              <w:t>societatea e declarată inactivă fiscal</w:t>
            </w:r>
          </w:p>
        </w:tc>
      </w:tr>
      <w:tr>
        <w:tc>
          <w:tcPr>
            <w:tcW w:type="dxa" w:w="4320"/>
          </w:tcPr>
          <w:p>
            <w:pPr>
              <w:spacing w:after="40"/>
            </w:pPr>
            <w:r>
              <w:rPr>
                <w:sz w:val="18"/>
              </w:rPr>
            </w:r>
            <w:r>
              <w:rPr>
                <w:sz w:val="18"/>
              </w:rPr>
              <w:t>b)</w:t>
            </w:r>
          </w:p>
        </w:tc>
        <w:tc>
          <w:tcPr>
            <w:tcW w:type="dxa" w:w="4320"/>
          </w:tcPr>
          <w:p>
            <w:pPr>
              <w:spacing w:after="40"/>
            </w:pPr>
            <w:r>
              <w:rPr>
                <w:sz w:val="18"/>
              </w:rPr>
            </w:r>
            <w:r>
              <w:rPr>
                <w:sz w:val="18"/>
              </w:rPr>
              <w:t>inactivitate temporară înscrisă la Registrul Comerțului</w:t>
            </w:r>
          </w:p>
        </w:tc>
      </w:tr>
      <w:tr>
        <w:tc>
          <w:tcPr>
            <w:tcW w:type="dxa" w:w="4320"/>
          </w:tcPr>
          <w:p>
            <w:pPr>
              <w:spacing w:after="40"/>
            </w:pPr>
            <w:r>
              <w:rPr>
                <w:sz w:val="18"/>
              </w:rPr>
            </w:r>
            <w:r>
              <w:rPr>
                <w:sz w:val="18"/>
              </w:rPr>
              <w:t>c)</w:t>
            </w:r>
          </w:p>
        </w:tc>
        <w:tc>
          <w:tcPr>
            <w:tcW w:type="dxa" w:w="4320"/>
          </w:tcPr>
          <w:p>
            <w:pPr>
              <w:spacing w:after="40"/>
            </w:pPr>
            <w:r>
              <w:rPr>
                <w:sz w:val="18"/>
              </w:rPr>
            </w:r>
            <w:r>
              <w:rPr>
                <w:sz w:val="18"/>
              </w:rPr>
              <w:t xml:space="preserve">asociații/administratorii au fapte înscrise în </w:t>
            </w:r>
            <w:r>
              <w:rPr>
                <w:b/>
                <w:sz w:val="18"/>
              </w:rPr>
              <w:t>cazierul fiscal</w:t>
            </w:r>
          </w:p>
        </w:tc>
      </w:tr>
      <w:tr>
        <w:tc>
          <w:tcPr>
            <w:tcW w:type="dxa" w:w="4320"/>
          </w:tcPr>
          <w:p>
            <w:pPr>
              <w:spacing w:after="40"/>
            </w:pPr>
            <w:r>
              <w:rPr>
                <w:sz w:val="18"/>
              </w:rPr>
            </w:r>
            <w:r>
              <w:rPr>
                <w:sz w:val="18"/>
              </w:rPr>
              <w:t>d)</w:t>
            </w:r>
          </w:p>
        </w:tc>
        <w:tc>
          <w:tcPr>
            <w:tcW w:type="dxa" w:w="4320"/>
          </w:tcPr>
          <w:p>
            <w:pPr>
              <w:spacing w:after="40"/>
            </w:pPr>
            <w:r>
              <w:rPr>
                <w:sz w:val="18"/>
              </w:rPr>
            </w:r>
            <w:r>
              <w:rPr>
                <w:b/>
                <w:sz w:val="18"/>
              </w:rPr>
              <w:t>nedepunerea niciunui decont</w:t>
            </w:r>
            <w:r>
              <w:rPr>
                <w:sz w:val="18"/>
              </w:rPr>
              <w:t xml:space="preserve"> 6 luni / 2 trimestre</w:t>
            </w:r>
          </w:p>
        </w:tc>
      </w:tr>
      <w:tr>
        <w:tc>
          <w:tcPr>
            <w:tcW w:type="dxa" w:w="4320"/>
          </w:tcPr>
          <w:p>
            <w:pPr>
              <w:spacing w:after="40"/>
            </w:pPr>
            <w:r>
              <w:rPr>
                <w:sz w:val="18"/>
              </w:rPr>
            </w:r>
            <w:r>
              <w:rPr>
                <w:sz w:val="18"/>
              </w:rPr>
              <w:t>e)</w:t>
            </w:r>
          </w:p>
        </w:tc>
        <w:tc>
          <w:tcPr>
            <w:tcW w:type="dxa" w:w="4320"/>
          </w:tcPr>
          <w:p>
            <w:pPr>
              <w:spacing w:after="40"/>
            </w:pPr>
            <w:r>
              <w:rPr>
                <w:sz w:val="18"/>
              </w:rPr>
            </w:r>
            <w:r>
              <w:rPr>
                <w:sz w:val="18"/>
              </w:rPr>
              <w:t xml:space="preserve">deconturi depuse, dar </w:t>
            </w:r>
            <w:r>
              <w:rPr>
                <w:b/>
                <w:sz w:val="18"/>
              </w:rPr>
              <w:t>fără nicio operațiune</w:t>
            </w:r>
            <w:r>
              <w:rPr>
                <w:sz w:val="18"/>
              </w:rPr>
              <w:t xml:space="preserve"> 6 luni / 2 trimestre</w:t>
            </w:r>
          </w:p>
        </w:tc>
      </w:tr>
      <w:tr>
        <w:tc>
          <w:tcPr>
            <w:tcW w:type="dxa" w:w="4320"/>
          </w:tcPr>
          <w:p>
            <w:pPr>
              <w:spacing w:after="40"/>
            </w:pPr>
            <w:r>
              <w:rPr>
                <w:sz w:val="18"/>
              </w:rPr>
            </w:r>
            <w:r>
              <w:rPr>
                <w:sz w:val="18"/>
              </w:rPr>
              <w:t>f)</w:t>
            </w:r>
          </w:p>
        </w:tc>
        <w:tc>
          <w:tcPr>
            <w:tcW w:type="dxa" w:w="4320"/>
          </w:tcPr>
          <w:p>
            <w:pPr>
              <w:spacing w:after="40"/>
            </w:pPr>
            <w:r>
              <w:rPr>
                <w:sz w:val="18"/>
              </w:rPr>
            </w:r>
            <w:r>
              <w:rPr>
                <w:sz w:val="18"/>
              </w:rPr>
              <w:t>societatea nu era obligată și nici nu avea dreptul să se înregistreze</w:t>
            </w:r>
          </w:p>
        </w:tc>
      </w:tr>
      <w:tr>
        <w:tc>
          <w:tcPr>
            <w:tcW w:type="dxa" w:w="4320"/>
          </w:tcPr>
          <w:p>
            <w:pPr>
              <w:spacing w:after="40"/>
            </w:pPr>
            <w:r>
              <w:rPr>
                <w:sz w:val="18"/>
              </w:rPr>
            </w:r>
            <w:r>
              <w:rPr>
                <w:sz w:val="18"/>
              </w:rPr>
              <w:t>g)</w:t>
            </w:r>
          </w:p>
        </w:tc>
        <w:tc>
          <w:tcPr>
            <w:tcW w:type="dxa" w:w="4320"/>
          </w:tcPr>
          <w:p>
            <w:pPr>
              <w:spacing w:after="40"/>
            </w:pPr>
            <w:r>
              <w:rPr>
                <w:sz w:val="18"/>
              </w:rPr>
            </w:r>
            <w:r>
              <w:rPr>
                <w:sz w:val="18"/>
              </w:rPr>
              <w:t>risc fiscal ridicat</w:t>
            </w:r>
          </w:p>
        </w:tc>
      </w:tr>
    </w:tbl>
    <w:p/>
    <w:p>
      <w:pPr>
        <w:jc w:val="both"/>
      </w:pPr>
      <w:r>
        <w:t xml:space="preserve">⚠️ </w:t>
      </w:r>
      <w:r>
        <w:rPr>
          <w:b/>
        </w:rPr>
        <w:t>Nu verificăm „pe Google".</w:t>
      </w:r>
      <w:r>
        <w:t xml:space="preserve"> Verificăm în registrele oficiale ANAF:</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Ce verifici</w:t>
            </w:r>
          </w:p>
        </w:tc>
        <w:tc>
          <w:tcPr>
            <w:tcW w:type="dxa" w:w="4320"/>
          </w:tcPr>
          <w:p>
            <w:pPr>
              <w:spacing w:after="40"/>
            </w:pPr>
            <w:r>
              <w:rPr>
                <w:b/>
                <w:sz w:val="18"/>
              </w:rPr>
            </w:r>
            <w:r>
              <w:rPr>
                <w:b/>
                <w:sz w:val="18"/>
              </w:rPr>
              <w:t>Unde</w:t>
            </w:r>
          </w:p>
        </w:tc>
      </w:tr>
      <w:tr>
        <w:tc>
          <w:tcPr>
            <w:tcW w:type="dxa" w:w="4320"/>
          </w:tcPr>
          <w:p>
            <w:pPr>
              <w:spacing w:after="40"/>
            </w:pPr>
            <w:r>
              <w:rPr>
                <w:sz w:val="18"/>
              </w:rPr>
            </w:r>
            <w:r>
              <w:rPr>
                <w:sz w:val="18"/>
              </w:rPr>
              <w:t>Este partenerul înregistrat în scopuri de TVA?</w:t>
            </w:r>
          </w:p>
        </w:tc>
        <w:tc>
          <w:tcPr>
            <w:tcW w:type="dxa" w:w="4320"/>
          </w:tcPr>
          <w:p>
            <w:pPr>
              <w:spacing w:after="40"/>
            </w:pPr>
            <w:r>
              <w:rPr>
                <w:sz w:val="18"/>
              </w:rPr>
            </w:r>
            <w:r>
              <w:rPr>
                <w:sz w:val="18"/>
              </w:rPr>
              <w:t>Registrul persoanelor impozabile înregistrate în scopuri de TVA</w:t>
            </w:r>
          </w:p>
        </w:tc>
      </w:tr>
      <w:tr>
        <w:tc>
          <w:tcPr>
            <w:tcW w:type="dxa" w:w="4320"/>
          </w:tcPr>
          <w:p>
            <w:pPr>
              <w:spacing w:after="40"/>
            </w:pPr>
            <w:r>
              <w:rPr>
                <w:sz w:val="18"/>
              </w:rPr>
            </w:r>
            <w:r>
              <w:rPr>
                <w:sz w:val="18"/>
              </w:rPr>
              <w:t>I-a fost anulat codul?</w:t>
            </w:r>
          </w:p>
        </w:tc>
        <w:tc>
          <w:tcPr>
            <w:tcW w:type="dxa" w:w="4320"/>
          </w:tcPr>
          <w:p>
            <w:pPr>
              <w:spacing w:after="40"/>
            </w:pPr>
            <w:r>
              <w:rPr>
                <w:sz w:val="18"/>
              </w:rPr>
            </w:r>
            <w:r>
              <w:rPr>
                <w:sz w:val="18"/>
              </w:rPr>
              <w:t>Registrul persoanelor cu cod de TVA anulat</w:t>
            </w:r>
          </w:p>
        </w:tc>
      </w:tr>
      <w:tr>
        <w:tc>
          <w:tcPr>
            <w:tcW w:type="dxa" w:w="4320"/>
          </w:tcPr>
          <w:p>
            <w:pPr>
              <w:spacing w:after="40"/>
            </w:pPr>
            <w:r>
              <w:rPr>
                <w:sz w:val="18"/>
              </w:rPr>
            </w:r>
            <w:r>
              <w:rPr>
                <w:sz w:val="18"/>
              </w:rPr>
              <w:t>Aplică TVA la încasare?</w:t>
            </w:r>
          </w:p>
        </w:tc>
        <w:tc>
          <w:tcPr>
            <w:tcW w:type="dxa" w:w="4320"/>
          </w:tcPr>
          <w:p>
            <w:pPr>
              <w:spacing w:after="40"/>
            </w:pPr>
            <w:r>
              <w:rPr>
                <w:sz w:val="18"/>
              </w:rPr>
            </w:r>
            <w:r>
              <w:rPr>
                <w:sz w:val="18"/>
              </w:rPr>
              <w:t>Registrul persoanelor care aplică TVA la încasare</w:t>
            </w:r>
          </w:p>
        </w:tc>
      </w:tr>
      <w:tr>
        <w:tc>
          <w:tcPr>
            <w:tcW w:type="dxa" w:w="4320"/>
          </w:tcPr>
          <w:p>
            <w:pPr>
              <w:spacing w:after="40"/>
            </w:pPr>
            <w:r>
              <w:rPr>
                <w:sz w:val="18"/>
              </w:rPr>
            </w:r>
            <w:r>
              <w:rPr>
                <w:sz w:val="18"/>
              </w:rPr>
              <w:t>Este inactiv fiscal?</w:t>
            </w:r>
          </w:p>
        </w:tc>
        <w:tc>
          <w:tcPr>
            <w:tcW w:type="dxa" w:w="4320"/>
          </w:tcPr>
          <w:p>
            <w:pPr>
              <w:spacing w:after="40"/>
            </w:pPr>
            <w:r>
              <w:rPr>
                <w:sz w:val="18"/>
              </w:rPr>
            </w:r>
            <w:r>
              <w:rPr>
                <w:sz w:val="18"/>
              </w:rPr>
              <w:t>Registrul contribuabililor inactivi/reactivați</w:t>
            </w:r>
          </w:p>
        </w:tc>
      </w:tr>
      <w:tr>
        <w:tc>
          <w:tcPr>
            <w:tcW w:type="dxa" w:w="4320"/>
          </w:tcPr>
          <w:p>
            <w:pPr>
              <w:spacing w:after="40"/>
            </w:pPr>
            <w:r>
              <w:rPr>
                <w:sz w:val="18"/>
              </w:rPr>
            </w:r>
            <w:r>
              <w:rPr>
                <w:sz w:val="18"/>
              </w:rPr>
              <w:t>Partener UE — cod valid?</w:t>
            </w:r>
          </w:p>
        </w:tc>
        <w:tc>
          <w:tcPr>
            <w:tcW w:type="dxa" w:w="4320"/>
          </w:tcPr>
          <w:p>
            <w:pPr>
              <w:spacing w:after="40"/>
            </w:pPr>
            <w:r>
              <w:rPr>
                <w:sz w:val="18"/>
              </w:rPr>
            </w:r>
            <w:r>
              <w:rPr>
                <w:b/>
                <w:sz w:val="18"/>
              </w:rPr>
              <w:t>VIES</w:t>
            </w:r>
            <w:r>
              <w:rPr>
                <w:sz w:val="18"/>
              </w:rPr>
              <w:t xml:space="preserve"> (obligatoriu pentru scutirea la livrarea intracomunitară)</w:t>
            </w:r>
          </w:p>
        </w:tc>
      </w:tr>
    </w:tbl>
    <w:p/>
    <w:p>
      <w:pPr>
        <w:jc w:val="both"/>
      </w:pPr>
      <w:r>
        <w:t xml:space="preserve">✅ Softurile bune fac verificarea automată la ANAF, inclusiv atributul de TVA la încasare — dar </w:t>
      </w:r>
      <w:r>
        <w:rPr>
          <w:b/>
        </w:rPr>
        <w:t>verifică tu că funcția e activată și că rulează la închiderea lunii</w:t>
      </w:r>
      <w:r>
        <w:t>, nu doar la introducerea facturii.</w:t>
      </w:r>
    </w:p>
    <w:p>
      <w:pPr>
        <w:jc w:val="both"/>
      </w:pPr>
      <w:r>
        <w:t xml:space="preserve">➕ </w:t>
      </w:r>
      <w:r>
        <w:rPr>
          <w:b/>
        </w:rPr>
        <w:t>Regulă practică:</w:t>
      </w:r>
      <w:r>
        <w:t xml:space="preserve"> furnizor nou = verificare obligatorie </w:t>
      </w:r>
      <w:r>
        <w:rPr>
          <w:i/>
        </w:rPr>
        <w:t>înainte</w:t>
      </w:r>
      <w:r>
        <w:t xml:space="preserve"> de prima plată, nu la închidere. Salvează dovada verificării (printscreen/PDF) la dosarul lunii — la inspecție ți se cere.</w:t>
      </w:r>
    </w:p>
    <w:p>
      <w:pPr>
        <w:pStyle w:val="Heading3"/>
      </w:pPr>
      <w:r>
        <w:t>2.3 Unde ajunge informația</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Declarație</w:t>
            </w:r>
          </w:p>
        </w:tc>
        <w:tc>
          <w:tcPr>
            <w:tcW w:type="dxa" w:w="2880"/>
          </w:tcPr>
          <w:p>
            <w:pPr>
              <w:spacing w:after="40"/>
            </w:pPr>
            <w:r>
              <w:rPr>
                <w:b/>
                <w:sz w:val="18"/>
              </w:rPr>
            </w:r>
            <w:r>
              <w:rPr>
                <w:b/>
                <w:sz w:val="18"/>
              </w:rPr>
              <w:t>Ce conține</w:t>
            </w:r>
          </w:p>
        </w:tc>
        <w:tc>
          <w:tcPr>
            <w:tcW w:type="dxa" w:w="2880"/>
          </w:tcPr>
          <w:p>
            <w:pPr>
              <w:spacing w:after="40"/>
            </w:pPr>
            <w:r>
              <w:rPr>
                <w:b/>
                <w:sz w:val="18"/>
              </w:rPr>
            </w:r>
            <w:r>
              <w:rPr>
                <w:b/>
                <w:sz w:val="18"/>
              </w:rPr>
              <w:t>Termen</w:t>
            </w:r>
          </w:p>
        </w:tc>
      </w:tr>
      <w:tr>
        <w:tc>
          <w:tcPr>
            <w:tcW w:type="dxa" w:w="2880"/>
          </w:tcPr>
          <w:p>
            <w:pPr>
              <w:spacing w:after="40"/>
            </w:pPr>
            <w:r>
              <w:rPr>
                <w:sz w:val="18"/>
              </w:rPr>
            </w:r>
            <w:r>
              <w:rPr>
                <w:b/>
                <w:sz w:val="18"/>
              </w:rPr>
              <w:t>D300</w:t>
            </w:r>
            <w:r>
              <w:rPr>
                <w:sz w:val="18"/>
              </w:rPr>
              <w:t xml:space="preserve"> — decont de TVA</w:t>
            </w:r>
          </w:p>
        </w:tc>
        <w:tc>
          <w:tcPr>
            <w:tcW w:type="dxa" w:w="2880"/>
          </w:tcPr>
          <w:p>
            <w:pPr>
              <w:spacing w:after="40"/>
            </w:pPr>
            <w:r>
              <w:rPr>
                <w:sz w:val="18"/>
              </w:rPr>
            </w:r>
            <w:r>
              <w:rPr>
                <w:sz w:val="18"/>
              </w:rPr>
              <w:t>toate operațiunile perioadei</w:t>
            </w:r>
          </w:p>
        </w:tc>
        <w:tc>
          <w:tcPr>
            <w:tcW w:type="dxa" w:w="2880"/>
          </w:tcPr>
          <w:p>
            <w:pPr>
              <w:spacing w:after="40"/>
            </w:pPr>
            <w:r>
              <w:rPr>
                <w:sz w:val="18"/>
              </w:rPr>
            </w:r>
            <w:r>
              <w:rPr>
                <w:sz w:val="18"/>
              </w:rPr>
              <w:t>25 a lunii următoare perioadei fiscale</w:t>
            </w:r>
          </w:p>
        </w:tc>
      </w:tr>
      <w:tr>
        <w:tc>
          <w:tcPr>
            <w:tcW w:type="dxa" w:w="2880"/>
          </w:tcPr>
          <w:p>
            <w:pPr>
              <w:spacing w:after="40"/>
            </w:pPr>
            <w:r>
              <w:rPr>
                <w:sz w:val="18"/>
              </w:rPr>
            </w:r>
            <w:r>
              <w:rPr>
                <w:b/>
                <w:sz w:val="18"/>
              </w:rPr>
              <w:t>D394</w:t>
            </w:r>
            <w:r>
              <w:rPr>
                <w:sz w:val="18"/>
              </w:rPr>
              <w:t xml:space="preserve"> — declarație informativă</w:t>
            </w:r>
          </w:p>
        </w:tc>
        <w:tc>
          <w:tcPr>
            <w:tcW w:type="dxa" w:w="2880"/>
          </w:tcPr>
          <w:p>
            <w:pPr>
              <w:spacing w:after="40"/>
            </w:pPr>
            <w:r>
              <w:rPr>
                <w:sz w:val="18"/>
              </w:rPr>
            </w:r>
            <w:r>
              <w:rPr>
                <w:sz w:val="18"/>
              </w:rPr>
              <w:t xml:space="preserve">tranzacții </w:t>
            </w:r>
            <w:r>
              <w:rPr>
                <w:b/>
                <w:sz w:val="18"/>
              </w:rPr>
              <w:t>pe teritoriul național</w:t>
            </w:r>
            <w:r>
              <w:rPr>
                <w:sz w:val="18"/>
              </w:rPr>
              <w:t>, defalcate pe parteneri</w:t>
            </w:r>
          </w:p>
        </w:tc>
        <w:tc>
          <w:tcPr>
            <w:tcW w:type="dxa" w:w="2880"/>
          </w:tcPr>
          <w:p>
            <w:pPr>
              <w:spacing w:after="40"/>
            </w:pPr>
            <w:r>
              <w:rPr>
                <w:sz w:val="18"/>
              </w:rPr>
            </w:r>
            <w:r>
              <w:rPr>
                <w:sz w:val="18"/>
              </w:rPr>
              <w:t>30 a lunii următoare perioadei fiscale</w:t>
            </w:r>
          </w:p>
        </w:tc>
      </w:tr>
      <w:tr>
        <w:tc>
          <w:tcPr>
            <w:tcW w:type="dxa" w:w="2880"/>
          </w:tcPr>
          <w:p>
            <w:pPr>
              <w:spacing w:after="40"/>
            </w:pPr>
            <w:r>
              <w:rPr>
                <w:sz w:val="18"/>
              </w:rPr>
            </w:r>
            <w:r>
              <w:rPr>
                <w:b/>
                <w:sz w:val="18"/>
              </w:rPr>
              <w:t>D390</w:t>
            </w:r>
            <w:r>
              <w:rPr>
                <w:sz w:val="18"/>
              </w:rPr>
              <w:t xml:space="preserve"> — declarație recapitulativă</w:t>
            </w:r>
          </w:p>
        </w:tc>
        <w:tc>
          <w:tcPr>
            <w:tcW w:type="dxa" w:w="2880"/>
          </w:tcPr>
          <w:p>
            <w:pPr>
              <w:spacing w:after="40"/>
            </w:pPr>
            <w:r>
              <w:rPr>
                <w:sz w:val="18"/>
              </w:rPr>
            </w:r>
            <w:r>
              <w:rPr>
                <w:sz w:val="18"/>
              </w:rPr>
              <w:t xml:space="preserve">operațiuni </w:t>
            </w:r>
            <w:r>
              <w:rPr>
                <w:b/>
                <w:sz w:val="18"/>
              </w:rPr>
              <w:t>intracomunitare</w:t>
            </w:r>
          </w:p>
        </w:tc>
        <w:tc>
          <w:tcPr>
            <w:tcW w:type="dxa" w:w="2880"/>
          </w:tcPr>
          <w:p>
            <w:pPr>
              <w:spacing w:after="40"/>
            </w:pPr>
            <w:r>
              <w:rPr>
                <w:sz w:val="18"/>
              </w:rPr>
            </w:r>
            <w:r>
              <w:rPr>
                <w:sz w:val="18"/>
              </w:rPr>
              <w:t>25 a lunii următoare</w:t>
            </w:r>
          </w:p>
        </w:tc>
      </w:tr>
    </w:tbl>
    <w:p/>
    <w:p>
      <w:pPr>
        <w:jc w:val="both"/>
      </w:pPr>
      <w:r>
        <w:t xml:space="preserve">✅ Observația din notițe despre D394 este corectă și importantă: declarația are </w:t>
      </w:r>
      <w:r>
        <w:rPr>
          <w:b/>
        </w:rPr>
        <w:t>casete separate</w:t>
      </w:r>
      <w:r>
        <w:t xml:space="preserve"> pentru operațiunile cu persoane înregistrate în scopuri de TVA și pentru cele cu neînregistrate. Softul repartizează pe baza </w:t>
      </w:r>
      <w:r>
        <w:rPr>
          <w:b/>
        </w:rPr>
        <w:t>atributului fiscal al CUI-ului</w:t>
      </w:r>
      <w:r>
        <w:t xml:space="preserve"> (prefixul „RO").</w:t>
      </w:r>
    </w:p>
    <w:p>
      <w:pPr>
        <w:jc w:val="both"/>
      </w:pPr>
      <w:r>
        <w:t xml:space="preserve">➕ Consecință practică: când un client trece de la neplătitor la plătitor de TVA, trebuie să actualizezi atributul în nomenclatorul de parteneri </w:t>
      </w:r>
      <w:r>
        <w:rPr>
          <w:b/>
        </w:rPr>
        <w:t>la data efectivă a înregistrării</w:t>
      </w:r>
      <w:r>
        <w:t>, nu retroactiv pe toată fișa. Altfel D394 iese greșit și primești notificare de conformare.</w:t>
      </w:r>
    </w:p>
    <w:p>
      <w:pPr>
        <w:jc w:val="both"/>
      </w:pPr>
      <w:r>
        <w:t xml:space="preserve">⚠️ Notițele întreabă „unde se mai duce informația, în afară de D300?". Răspuns complet: </w:t>
      </w:r>
      <w:r>
        <w:rPr>
          <w:b/>
        </w:rPr>
        <w:t>D394</w:t>
      </w:r>
      <w:r>
        <w:t xml:space="preserve"> (pentru tranzacțiile interne), </w:t>
      </w:r>
      <w:r>
        <w:rPr>
          <w:b/>
        </w:rPr>
        <w:t>D390</w:t>
      </w:r>
      <w:r>
        <w:t xml:space="preserve"> (dacă sunt operațiuni intracomunitare), </w:t>
      </w:r>
      <w:r>
        <w:rPr>
          <w:b/>
        </w:rPr>
        <w:t>RO e-Factura</w:t>
      </w:r>
      <w:r>
        <w:t xml:space="preserve"> (raportarea facturii propriu-zise) și </w:t>
      </w:r>
      <w:r>
        <w:rPr>
          <w:b/>
        </w:rPr>
        <w:t>D406/SAF-T</w:t>
      </w:r>
      <w:r>
        <w:t xml:space="preserve"> (fișierul standard de audit). Nu doar D394.</w:t>
      </w:r>
    </w:p>
    <w:p>
      <w:pPr>
        <w:pStyle w:val="Heading3"/>
      </w:pPr>
      <w:r>
        <w:t>2.4 Legătura cu producția</w:t>
      </w:r>
    </w:p>
    <w:p>
      <w:pPr>
        <w:jc w:val="both"/>
      </w:pPr>
      <w:r>
        <w:t xml:space="preserve">✅ Contul 301 se folosește cel mai des în </w:t>
      </w:r>
      <w:r>
        <w:rPr>
          <w:b/>
        </w:rPr>
        <w:t>producție</w:t>
      </w:r>
      <w:r>
        <w:t>. Din punct de vedere al tratamentului contabil, este cuplat cu:</w:t>
      </w:r>
    </w:p>
    <w:p>
      <w:pPr>
        <w:pStyle w:val="ListBullet"/>
      </w:pPr>
      <w:r>
        <w:rPr>
          <w:b/>
        </w:rPr>
        <w:t>601</w:t>
      </w:r>
      <w:r>
        <w:t xml:space="preserve"> „Cheltuieli cu materiile prime" — la consum;</w:t>
      </w:r>
    </w:p>
    <w:p>
      <w:pPr>
        <w:pStyle w:val="ListBullet"/>
      </w:pPr>
      <w:r>
        <w:rPr>
          <w:b/>
        </w:rPr>
        <w:t>711</w:t>
      </w:r>
      <w:r>
        <w:t xml:space="preserve"> „Venituri aferente costurilor stocurilor de produse" — la obținerea produsului;</w:t>
      </w:r>
    </w:p>
    <w:p>
      <w:pPr>
        <w:pStyle w:val="ListBullet"/>
      </w:pPr>
      <w:r>
        <w:rPr>
          <w:b/>
        </w:rPr>
        <w:t>7015</w:t>
      </w:r>
      <w:r>
        <w:t xml:space="preserve"> „Venituri din vânzarea produselor finite" — la vânzare.</w:t>
      </w:r>
    </w:p>
    <w:p>
      <w:pPr>
        <w:jc w:val="both"/>
      </w:pPr>
      <w:r>
        <w:t>⚠️ Notița originală zicea „</w:t>
      </w:r>
      <w:r>
        <w:rPr>
          <w:i/>
        </w:rPr>
        <w:t>cuplat cu 704 și 7015</w:t>
      </w:r>
      <w:r>
        <w:t xml:space="preserve">". </w:t>
      </w:r>
      <w:r>
        <w:rPr>
          <w:b/>
        </w:rPr>
        <w:t>704</w:t>
      </w:r>
      <w:r>
        <w:t xml:space="preserve"> este „Venituri din servicii prestate" — nu are legătură cu materiile prime consumate în producția de bunuri. 704 apare când vinzi manoperă/servicii, nu produse. Corect este </w:t>
      </w:r>
      <w:r>
        <w:rPr>
          <w:b/>
        </w:rPr>
        <w:t>7015</w:t>
      </w:r>
      <w:r>
        <w:t xml:space="preserve"> (+ 711 pe traseu).</w:t>
      </w:r>
    </w:p>
    <w:p>
      <w:pPr>
        <w:spacing w:before="40" w:after="160"/>
        <w:pBdr>
          <w:bottom w:val="single" w:sz="6" w:color="DBE3EA"/>
        </w:pBdr>
      </w:pPr>
    </w:p>
    <w:p>
      <w:pPr>
        <w:pStyle w:val="Heading2"/>
      </w:pPr>
      <w:r>
        <w:t>3. Materiale consumabile (302) și obiecte de inventar (303)</w:t>
      </w:r>
    </w:p>
    <w:p>
      <w:pPr>
        <w:pStyle w:val="Heading3"/>
      </w:pPr>
      <w:r>
        <w:t>3.1 Structura analitică a lui 302</w:t>
      </w:r>
    </w:p>
    <w:p>
      <w:pPr>
        <w:jc w:val="both"/>
      </w:pPr>
      <w:r>
        <w:t>➕ Notițele lăsaseră doar „302 / 3021 / etc". Lista completă:</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Cont stoc</w:t>
            </w:r>
          </w:p>
        </w:tc>
        <w:tc>
          <w:tcPr>
            <w:tcW w:type="dxa" w:w="2880"/>
          </w:tcPr>
          <w:p>
            <w:pPr>
              <w:spacing w:after="40"/>
            </w:pPr>
            <w:r>
              <w:rPr>
                <w:b/>
                <w:sz w:val="18"/>
              </w:rPr>
            </w:r>
            <w:r>
              <w:rPr>
                <w:b/>
                <w:sz w:val="18"/>
              </w:rPr>
              <w:t>Denumire</w:t>
            </w:r>
          </w:p>
        </w:tc>
        <w:tc>
          <w:tcPr>
            <w:tcW w:type="dxa" w:w="2880"/>
          </w:tcPr>
          <w:p>
            <w:pPr>
              <w:spacing w:after="40"/>
            </w:pPr>
            <w:r>
              <w:rPr>
                <w:b/>
                <w:sz w:val="18"/>
              </w:rPr>
            </w:r>
            <w:r>
              <w:rPr>
                <w:b/>
                <w:sz w:val="18"/>
              </w:rPr>
              <w:t>Cont cheltuială pereche</w:t>
            </w:r>
          </w:p>
        </w:tc>
      </w:tr>
      <w:tr>
        <w:tc>
          <w:tcPr>
            <w:tcW w:type="dxa" w:w="2880"/>
          </w:tcPr>
          <w:p>
            <w:pPr>
              <w:spacing w:after="40"/>
            </w:pPr>
            <w:r>
              <w:rPr>
                <w:sz w:val="18"/>
              </w:rPr>
            </w:r>
            <w:r>
              <w:rPr>
                <w:sz w:val="18"/>
              </w:rPr>
              <w:t>3021</w:t>
            </w:r>
          </w:p>
        </w:tc>
        <w:tc>
          <w:tcPr>
            <w:tcW w:type="dxa" w:w="2880"/>
          </w:tcPr>
          <w:p>
            <w:pPr>
              <w:spacing w:after="40"/>
            </w:pPr>
            <w:r>
              <w:rPr>
                <w:sz w:val="18"/>
              </w:rPr>
            </w:r>
            <w:r>
              <w:rPr>
                <w:sz w:val="18"/>
              </w:rPr>
              <w:t>Materiale auxiliare</w:t>
            </w:r>
          </w:p>
        </w:tc>
        <w:tc>
          <w:tcPr>
            <w:tcW w:type="dxa" w:w="2880"/>
          </w:tcPr>
          <w:p>
            <w:pPr>
              <w:spacing w:after="40"/>
            </w:pPr>
            <w:r>
              <w:rPr>
                <w:sz w:val="18"/>
              </w:rPr>
            </w:r>
            <w:r>
              <w:rPr>
                <w:sz w:val="18"/>
              </w:rPr>
              <w:t>6021</w:t>
            </w:r>
          </w:p>
        </w:tc>
      </w:tr>
      <w:tr>
        <w:tc>
          <w:tcPr>
            <w:tcW w:type="dxa" w:w="2880"/>
          </w:tcPr>
          <w:p>
            <w:pPr>
              <w:spacing w:after="40"/>
            </w:pPr>
            <w:r>
              <w:rPr>
                <w:sz w:val="18"/>
              </w:rPr>
            </w:r>
            <w:r>
              <w:rPr>
                <w:sz w:val="18"/>
              </w:rPr>
              <w:t>3022</w:t>
            </w:r>
          </w:p>
        </w:tc>
        <w:tc>
          <w:tcPr>
            <w:tcW w:type="dxa" w:w="2880"/>
          </w:tcPr>
          <w:p>
            <w:pPr>
              <w:spacing w:after="40"/>
            </w:pPr>
            <w:r>
              <w:rPr>
                <w:sz w:val="18"/>
              </w:rPr>
            </w:r>
            <w:r>
              <w:rPr>
                <w:sz w:val="18"/>
              </w:rPr>
              <w:t>Combustibili</w:t>
            </w:r>
          </w:p>
        </w:tc>
        <w:tc>
          <w:tcPr>
            <w:tcW w:type="dxa" w:w="2880"/>
          </w:tcPr>
          <w:p>
            <w:pPr>
              <w:spacing w:after="40"/>
            </w:pPr>
            <w:r>
              <w:rPr>
                <w:sz w:val="18"/>
              </w:rPr>
            </w:r>
            <w:r>
              <w:rPr>
                <w:sz w:val="18"/>
              </w:rPr>
              <w:t>6022</w:t>
            </w:r>
          </w:p>
        </w:tc>
      </w:tr>
      <w:tr>
        <w:tc>
          <w:tcPr>
            <w:tcW w:type="dxa" w:w="2880"/>
          </w:tcPr>
          <w:p>
            <w:pPr>
              <w:spacing w:after="40"/>
            </w:pPr>
            <w:r>
              <w:rPr>
                <w:sz w:val="18"/>
              </w:rPr>
            </w:r>
            <w:r>
              <w:rPr>
                <w:sz w:val="18"/>
              </w:rPr>
              <w:t>3023</w:t>
            </w:r>
          </w:p>
        </w:tc>
        <w:tc>
          <w:tcPr>
            <w:tcW w:type="dxa" w:w="2880"/>
          </w:tcPr>
          <w:p>
            <w:pPr>
              <w:spacing w:after="40"/>
            </w:pPr>
            <w:r>
              <w:rPr>
                <w:sz w:val="18"/>
              </w:rPr>
            </w:r>
            <w:r>
              <w:rPr>
                <w:sz w:val="18"/>
              </w:rPr>
              <w:t>Materiale pentru ambalat</w:t>
            </w:r>
          </w:p>
        </w:tc>
        <w:tc>
          <w:tcPr>
            <w:tcW w:type="dxa" w:w="2880"/>
          </w:tcPr>
          <w:p>
            <w:pPr>
              <w:spacing w:after="40"/>
            </w:pPr>
            <w:r>
              <w:rPr>
                <w:sz w:val="18"/>
              </w:rPr>
            </w:r>
            <w:r>
              <w:rPr>
                <w:sz w:val="18"/>
              </w:rPr>
              <w:t>6023</w:t>
            </w:r>
          </w:p>
        </w:tc>
      </w:tr>
      <w:tr>
        <w:tc>
          <w:tcPr>
            <w:tcW w:type="dxa" w:w="2880"/>
          </w:tcPr>
          <w:p>
            <w:pPr>
              <w:spacing w:after="40"/>
            </w:pPr>
            <w:r>
              <w:rPr>
                <w:sz w:val="18"/>
              </w:rPr>
            </w:r>
            <w:r>
              <w:rPr>
                <w:sz w:val="18"/>
              </w:rPr>
              <w:t>3024</w:t>
            </w:r>
          </w:p>
        </w:tc>
        <w:tc>
          <w:tcPr>
            <w:tcW w:type="dxa" w:w="2880"/>
          </w:tcPr>
          <w:p>
            <w:pPr>
              <w:spacing w:after="40"/>
            </w:pPr>
            <w:r>
              <w:rPr>
                <w:sz w:val="18"/>
              </w:rPr>
            </w:r>
            <w:r>
              <w:rPr>
                <w:sz w:val="18"/>
              </w:rPr>
              <w:t>Piese de schimb</w:t>
            </w:r>
          </w:p>
        </w:tc>
        <w:tc>
          <w:tcPr>
            <w:tcW w:type="dxa" w:w="2880"/>
          </w:tcPr>
          <w:p>
            <w:pPr>
              <w:spacing w:after="40"/>
            </w:pPr>
            <w:r>
              <w:rPr>
                <w:sz w:val="18"/>
              </w:rPr>
            </w:r>
            <w:r>
              <w:rPr>
                <w:sz w:val="18"/>
              </w:rPr>
              <w:t>6024</w:t>
            </w:r>
          </w:p>
        </w:tc>
      </w:tr>
      <w:tr>
        <w:tc>
          <w:tcPr>
            <w:tcW w:type="dxa" w:w="2880"/>
          </w:tcPr>
          <w:p>
            <w:pPr>
              <w:spacing w:after="40"/>
            </w:pPr>
            <w:r>
              <w:rPr>
                <w:sz w:val="18"/>
              </w:rPr>
            </w:r>
            <w:r>
              <w:rPr>
                <w:sz w:val="18"/>
              </w:rPr>
              <w:t>3025</w:t>
            </w:r>
          </w:p>
        </w:tc>
        <w:tc>
          <w:tcPr>
            <w:tcW w:type="dxa" w:w="2880"/>
          </w:tcPr>
          <w:p>
            <w:pPr>
              <w:spacing w:after="40"/>
            </w:pPr>
            <w:r>
              <w:rPr>
                <w:sz w:val="18"/>
              </w:rPr>
            </w:r>
            <w:r>
              <w:rPr>
                <w:sz w:val="18"/>
              </w:rPr>
              <w:t>Semințe și materiale de plantat</w:t>
            </w:r>
          </w:p>
        </w:tc>
        <w:tc>
          <w:tcPr>
            <w:tcW w:type="dxa" w:w="2880"/>
          </w:tcPr>
          <w:p>
            <w:pPr>
              <w:spacing w:after="40"/>
            </w:pPr>
            <w:r>
              <w:rPr>
                <w:sz w:val="18"/>
              </w:rPr>
            </w:r>
            <w:r>
              <w:rPr>
                <w:sz w:val="18"/>
              </w:rPr>
              <w:t>6025</w:t>
            </w:r>
          </w:p>
        </w:tc>
      </w:tr>
      <w:tr>
        <w:tc>
          <w:tcPr>
            <w:tcW w:type="dxa" w:w="2880"/>
          </w:tcPr>
          <w:p>
            <w:pPr>
              <w:spacing w:after="40"/>
            </w:pPr>
            <w:r>
              <w:rPr>
                <w:sz w:val="18"/>
              </w:rPr>
            </w:r>
            <w:r>
              <w:rPr>
                <w:sz w:val="18"/>
              </w:rPr>
              <w:t>3026</w:t>
            </w:r>
          </w:p>
        </w:tc>
        <w:tc>
          <w:tcPr>
            <w:tcW w:type="dxa" w:w="2880"/>
          </w:tcPr>
          <w:p>
            <w:pPr>
              <w:spacing w:after="40"/>
            </w:pPr>
            <w:r>
              <w:rPr>
                <w:sz w:val="18"/>
              </w:rPr>
            </w:r>
            <w:r>
              <w:rPr>
                <w:sz w:val="18"/>
              </w:rPr>
              <w:t>Furaje</w:t>
            </w:r>
          </w:p>
        </w:tc>
        <w:tc>
          <w:tcPr>
            <w:tcW w:type="dxa" w:w="2880"/>
          </w:tcPr>
          <w:p>
            <w:pPr>
              <w:spacing w:after="40"/>
            </w:pPr>
            <w:r>
              <w:rPr>
                <w:sz w:val="18"/>
              </w:rPr>
            </w:r>
            <w:r>
              <w:rPr>
                <w:sz w:val="18"/>
              </w:rPr>
              <w:t>6026</w:t>
            </w:r>
          </w:p>
        </w:tc>
      </w:tr>
      <w:tr>
        <w:tc>
          <w:tcPr>
            <w:tcW w:type="dxa" w:w="2880"/>
          </w:tcPr>
          <w:p>
            <w:pPr>
              <w:spacing w:after="40"/>
            </w:pPr>
            <w:r>
              <w:rPr>
                <w:sz w:val="18"/>
              </w:rPr>
            </w:r>
            <w:r>
              <w:rPr>
                <w:sz w:val="18"/>
              </w:rPr>
              <w:t>3028</w:t>
            </w:r>
          </w:p>
        </w:tc>
        <w:tc>
          <w:tcPr>
            <w:tcW w:type="dxa" w:w="2880"/>
          </w:tcPr>
          <w:p>
            <w:pPr>
              <w:spacing w:after="40"/>
            </w:pPr>
            <w:r>
              <w:rPr>
                <w:sz w:val="18"/>
              </w:rPr>
            </w:r>
            <w:r>
              <w:rPr>
                <w:sz w:val="18"/>
              </w:rPr>
              <w:t>Alte materiale consumabile</w:t>
            </w:r>
          </w:p>
        </w:tc>
        <w:tc>
          <w:tcPr>
            <w:tcW w:type="dxa" w:w="2880"/>
          </w:tcPr>
          <w:p>
            <w:pPr>
              <w:spacing w:after="40"/>
            </w:pPr>
            <w:r>
              <w:rPr>
                <w:sz w:val="18"/>
              </w:rPr>
            </w:r>
            <w:r>
              <w:rPr>
                <w:sz w:val="18"/>
              </w:rPr>
              <w:t>6028</w:t>
            </w:r>
          </w:p>
        </w:tc>
      </w:tr>
    </w:tbl>
    <w:p/>
    <w:p>
      <w:pPr>
        <w:jc w:val="both"/>
      </w:pPr>
      <w:r>
        <w:t>Perechea e 1:1. Dacă vezi un 602x fără 302x corespondent în balanță, ai o problemă.</w:t>
      </w:r>
    </w:p>
    <w:p>
      <w:pPr>
        <w:pStyle w:val="Heading3"/>
      </w:pPr>
      <w:r>
        <w:t>3.2 REGULA: nu treci niciodată direct pe cheltuială</w:t>
      </w:r>
    </w:p>
    <w:p>
      <w:pPr>
        <w:ind w:left="360"/>
      </w:pPr>
      <w:r>
        <w:rPr>
          <w:i/>
          <w:color w:val="5D6E7E"/>
        </w:rPr>
        <w:t xml:space="preserve">❌ </w:t>
      </w:r>
      <w:r>
        <w:rPr>
          <w:rFonts w:ascii="Consolas" w:hAnsi="Consolas"/>
          <w:i/>
          <w:color w:val="5D6E7E"/>
          <w:sz w:val="19"/>
        </w:rPr>
        <w:t>6021 / 6024 / 6028 = 401</w:t>
      </w:r>
    </w:p>
    <w:p>
      <w:pPr>
        <w:ind w:left="360"/>
      </w:pPr>
      <w:r>
        <w:rPr>
          <w:i/>
          <w:color w:val="5D6E7E"/>
        </w:rPr>
        <w:t xml:space="preserve">✅ </w:t>
      </w:r>
      <w:r>
        <w:rPr>
          <w:rFonts w:ascii="Consolas" w:hAnsi="Consolas"/>
          <w:i/>
          <w:color w:val="5D6E7E"/>
          <w:sz w:val="19"/>
        </w:rPr>
        <w:t>3021 / 3024 / 3028 = 401</w:t>
      </w:r>
      <w:r>
        <w:rPr>
          <w:i/>
          <w:color w:val="5D6E7E"/>
        </w:rPr>
        <w:t xml:space="preserve">, apoi </w:t>
      </w:r>
      <w:r>
        <w:rPr>
          <w:rFonts w:ascii="Consolas" w:hAnsi="Consolas"/>
          <w:i/>
          <w:color w:val="5D6E7E"/>
          <w:sz w:val="19"/>
        </w:rPr>
        <w:t>6021 / 6024 / 6028 = 302x</w:t>
      </w:r>
      <w:r>
        <w:rPr>
          <w:i/>
          <w:color w:val="5D6E7E"/>
        </w:rPr>
        <w:t xml:space="preserve"> pe bon de consum</w:t>
      </w:r>
    </w:p>
    <w:p>
      <w:pPr>
        <w:jc w:val="both"/>
      </w:pPr>
      <w:r>
        <w:rPr>
          <w:b/>
        </w:rPr>
        <w:t>De ce — argumentul de audit</w:t>
      </w:r>
      <w:r>
        <w:t xml:space="preserve"> (⚠️ reformulat, notița originală amestecase conturile):</w:t>
      </w:r>
    </w:p>
    <w:p>
      <w:pPr>
        <w:jc w:val="both"/>
      </w:pPr>
      <w:r>
        <w:t xml:space="preserve">Auditorul care verifică situațiile financiare cere </w:t>
      </w:r>
      <w:r>
        <w:rPr>
          <w:b/>
        </w:rPr>
        <w:t>balanța analitică a conturilor de stoc</w:t>
      </w:r>
      <w:r>
        <w:t>, nu a lui 401. Pe un cont 302x el citește instantaneu:</w:t>
      </w:r>
    </w:p>
    <w:p>
      <w:pPr>
        <w:pStyle w:val="ListBullet"/>
      </w:pPr>
      <w:r>
        <w:rPr>
          <w:b/>
        </w:rPr>
        <w:t>rulaj debitor</w:t>
      </w:r>
      <w:r>
        <w:t xml:space="preserve"> = ce a intrat în gestiune pe parcursul anului (achiziții);</w:t>
      </w:r>
    </w:p>
    <w:p>
      <w:pPr>
        <w:pStyle w:val="ListBullet"/>
      </w:pPr>
      <w:r>
        <w:rPr>
          <w:b/>
        </w:rPr>
        <w:t>rulaj creditor</w:t>
      </w:r>
      <w:r>
        <w:t xml:space="preserve"> = ce s-a consumat efectiv (bonuri de consum);</w:t>
      </w:r>
    </w:p>
    <w:p>
      <w:pPr>
        <w:pStyle w:val="ListBullet"/>
      </w:pPr>
      <w:r>
        <w:rPr>
          <w:b/>
        </w:rPr>
        <w:t>sold final</w:t>
      </w:r>
      <w:r>
        <w:t xml:space="preserve"> = ce ar trebui să existe fizic la inventariere.</w:t>
      </w:r>
    </w:p>
    <w:p>
      <w:pPr>
        <w:jc w:val="both"/>
      </w:pPr>
      <w:r>
        <w:t>Dacă tu treci direct pe 6021, contul de stoc e gol, corelația dispare, iar auditorul nu are cu ce să confrunte inventarul faptic. La 401 ai altceva: credit = facturi primite, debit = plăți. Alt tip de informație.</w:t>
      </w:r>
    </w:p>
    <w:p>
      <w:pPr>
        <w:jc w:val="both"/>
      </w:pPr>
      <w:r>
        <w:t xml:space="preserve">➕ </w:t>
      </w:r>
      <w:r>
        <w:rPr>
          <w:b/>
        </w:rPr>
        <w:t>Excepție de reținut:</w:t>
      </w:r>
      <w:r>
        <w:t xml:space="preserve"> OMFP 1802/2014 permite și metoda </w:t>
      </w:r>
      <w:r>
        <w:rPr>
          <w:b/>
        </w:rPr>
        <w:t>inventarului intermitent</w:t>
      </w:r>
      <w:r>
        <w:t xml:space="preserve">, unde achizițiile chiar se trec direct pe cheltuială, iar la sfârșitul perioadei se stornează stocul rămas. E o opțiune de politică contabilă, nu o scuză. Dacă nu ai declarat explicit metoda intermitentă în politicile contabile ale clientului, </w:t>
      </w:r>
      <w:r>
        <w:rPr>
          <w:b/>
        </w:rPr>
        <w:t>regula de mai sus e obligatorie</w:t>
      </w:r>
      <w:r>
        <w:t>.</w:t>
      </w:r>
    </w:p>
    <w:p>
      <w:pPr>
        <w:pStyle w:val="Heading3"/>
      </w:pPr>
      <w:r>
        <w:t>3.3 Transferul spre mărfuri</w:t>
      </w:r>
    </w:p>
    <w:p>
      <w:pPr>
        <w:jc w:val="both"/>
      </w:pPr>
      <w:r>
        <w:t xml:space="preserve">✅ Corect în notițe: dacă piesele de schimb cumpărate pentru consum propriu ajung să fie </w:t>
      </w:r>
      <w:r>
        <w:rPr>
          <w:b/>
        </w:rPr>
        <w:t>revândute</w:t>
      </w:r>
      <w:r>
        <w:t>, se schimbă destinația bunului, deci și contul:</w:t>
      </w:r>
    </w:p>
    <w:p>
      <w:pPr>
        <w:ind w:left="280"/>
      </w:pPr>
      <w:r>
        <w:rPr>
          <w:rFonts w:ascii="Consolas" w:hAnsi="Consolas"/>
          <w:sz w:val="18"/>
        </w:rPr>
        <w:t>371         =  3024        (transfer la valoarea de intrare)</w:t>
        <w:br/>
        <w:t>371         =  378         (adaosul comercial, dacă vinzi cu amănuntul)</w:t>
        <w:br/>
        <w:t>371         =  4428        (TVA neexigibilă, dacă vinzi cu amănuntul)</w:t>
      </w:r>
    </w:p>
    <w:p>
      <w:pPr>
        <w:jc w:val="both"/>
      </w:pPr>
      <w:r>
        <w:t xml:space="preserve">➕ Documentul justificativ: </w:t>
      </w:r>
      <w:r>
        <w:rPr>
          <w:b/>
        </w:rPr>
        <w:t>notă de transfer între gestiuni</w:t>
      </w:r>
      <w:r>
        <w:t>, aprobată. Nu se face „din pix" în contabilitate.</w:t>
      </w:r>
    </w:p>
    <w:p>
      <w:pPr>
        <w:pStyle w:val="Heading3"/>
      </w:pPr>
      <w:r>
        <w:t>3.4 Obiect de inventar vs. mijloc fix — pragul</w:t>
      </w:r>
    </w:p>
    <w:p>
      <w:pPr>
        <w:jc w:val="both"/>
      </w:pPr>
      <w:r>
        <w:t xml:space="preserve">⚠️ </w:t>
      </w:r>
      <w:r>
        <w:rPr>
          <w:b/>
        </w:rPr>
        <w:t>Aici notițele au două probleme.</w:t>
      </w:r>
    </w:p>
    <w:p>
      <w:pPr>
        <w:jc w:val="both"/>
      </w:pPr>
      <w:r>
        <w:rPr>
          <w:b/>
        </w:rPr>
        <w:t>Problema 1 — pragul.</w:t>
      </w:r>
      <w:r>
        <w:t xml:space="preserve"> Notițele zic „5.000". Este corect </w:t>
      </w:r>
      <w:r>
        <w:rPr>
          <w:b/>
        </w:rPr>
        <w:t>acum</w:t>
      </w:r>
      <w:r>
        <w:t xml:space="preserve">, dar merită știut de când și de ce: prin </w:t>
      </w:r>
      <w:r>
        <w:rPr>
          <w:b/>
        </w:rPr>
        <w:t>OUG nr. 8/2026</w:t>
      </w:r>
      <w:r>
        <w:t xml:space="preserve"> (M.Of. nr. 147 din 25.02.2026) pragul fiscal a crescut de la 2.500 lei la 5.000 lei, după 12 ani de stagnare (fusese fixat prin HG 276/2013).</w:t>
      </w:r>
    </w:p>
    <w:p>
      <w:pPr>
        <w:jc w:val="both"/>
      </w:pPr>
      <w:r>
        <w:t>Consecințe:</w:t>
      </w:r>
    </w:p>
    <w:p>
      <w:pPr>
        <w:pStyle w:val="ListBullet"/>
      </w:pPr>
      <w:r>
        <w:rPr>
          <w:b/>
        </w:rPr>
        <w:t>Achiziții din 2026:</w:t>
      </w:r>
      <w:r>
        <w:t xml:space="preserve"> bun sub 5.000 lei → deductibil integral la punerea în funcțiune, fără amortizare.</w:t>
      </w:r>
    </w:p>
    <w:p>
      <w:pPr>
        <w:pStyle w:val="ListBullet"/>
      </w:pPr>
      <w:r>
        <w:rPr>
          <w:b/>
        </w:rPr>
        <w:t>Bunuri deja în patrimoniu la 31.12.2025 cu valoare între 2.500 și 5.000 lei:</w:t>
      </w:r>
      <w:r>
        <w:t xml:space="preserve"> rămân mijloace fixe, se amortizează în continuare pe durata rămasă. </w:t>
      </w:r>
      <w:r>
        <w:rPr>
          <w:b/>
        </w:rPr>
        <w:t>Nu se reclasifică retroactiv.</w:t>
      </w:r>
    </w:p>
    <w:p>
      <w:pPr>
        <w:pStyle w:val="ListBullet"/>
      </w:pPr>
      <w:r>
        <w:t>Pragul urmează să fie actualizat anual în funcție de inflație.</w:t>
      </w:r>
    </w:p>
    <w:p>
      <w:pPr>
        <w:jc w:val="both"/>
      </w:pPr>
      <w:r>
        <w:t xml:space="preserve">➕ </w:t>
      </w:r>
      <w:r>
        <w:rPr>
          <w:b/>
        </w:rPr>
        <w:t>Nuanță de reținut, pe care mulți o ratează:</w:t>
      </w:r>
      <w:r>
        <w:t xml:space="preserve"> pragul de 5.000 lei este </w:t>
      </w:r>
      <w:r>
        <w:rPr>
          <w:b/>
        </w:rPr>
        <w:t>fiscal</w:t>
      </w:r>
      <w:r>
        <w:t>, nu contabil. Din punct de vedere contabil, entitatea își poate stabili prin politici contabile un alt prag de recunoaștere ca imobilizare. Dacă cele două diferă, apar diferențe temporare între rezultatul contabil și cel fiscal — de urmărit în registrul de evidență fiscală.</w:t>
      </w:r>
    </w:p>
    <w:p>
      <w:pPr>
        <w:jc w:val="both"/>
      </w:pPr>
      <w:r>
        <w:rPr>
          <w:b/>
        </w:rPr>
        <w:t>Problema 2 — criteriile.</w:t>
      </w:r>
      <w:r>
        <w:t xml:space="preserve"> Notița spune: „</w:t>
      </w:r>
      <w:r>
        <w:rPr>
          <w:i/>
        </w:rPr>
        <w:t>&gt;1 an durată de utilizare, chiar dacă &lt;5.000 ⟺ mijloc fix</w:t>
      </w:r>
      <w:r>
        <w:t xml:space="preserve">". </w:t>
      </w:r>
      <w:r>
        <w:rPr>
          <w:b/>
        </w:rPr>
        <w:t>Fals.</w:t>
      </w:r>
      <w:r>
        <w:t xml:space="preserve"> Cele două condiții sunt </w:t>
      </w:r>
      <w:r>
        <w:rPr>
          <w:b/>
        </w:rPr>
        <w:t>cumulative</w:t>
      </w:r>
      <w:r>
        <w:t>, nu alternative (art. 28 alin. 2 Cod fiscal):</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Condiție</w:t>
            </w:r>
          </w:p>
        </w:tc>
        <w:tc>
          <w:tcPr>
            <w:tcW w:type="dxa" w:w="4320"/>
          </w:tcPr>
          <w:p>
            <w:pPr>
              <w:spacing w:after="40"/>
            </w:pPr>
            <w:r>
              <w:rPr>
                <w:b/>
                <w:sz w:val="18"/>
              </w:rPr>
            </w:r>
          </w:p>
        </w:tc>
      </w:tr>
      <w:tr>
        <w:tc>
          <w:tcPr>
            <w:tcW w:type="dxa" w:w="4320"/>
          </w:tcPr>
          <w:p>
            <w:pPr>
              <w:spacing w:after="40"/>
            </w:pPr>
            <w:r>
              <w:rPr>
                <w:sz w:val="18"/>
              </w:rPr>
            </w:r>
            <w:r>
              <w:rPr>
                <w:sz w:val="18"/>
              </w:rPr>
              <w:t>deținut și utilizat în producție, prestare de servicii, închiriere sau scopuri administrative</w:t>
            </w:r>
          </w:p>
        </w:tc>
        <w:tc>
          <w:tcPr>
            <w:tcW w:type="dxa" w:w="4320"/>
          </w:tcPr>
          <w:p>
            <w:pPr>
              <w:spacing w:after="40"/>
            </w:pPr>
            <w:r>
              <w:rPr>
                <w:sz w:val="18"/>
              </w:rPr>
            </w:r>
            <w:r>
              <w:rPr>
                <w:sz w:val="18"/>
              </w:rPr>
              <w:t>ȘI</w:t>
            </w:r>
          </w:p>
        </w:tc>
      </w:tr>
      <w:tr>
        <w:tc>
          <w:tcPr>
            <w:tcW w:type="dxa" w:w="4320"/>
          </w:tcPr>
          <w:p>
            <w:pPr>
              <w:spacing w:after="40"/>
            </w:pPr>
            <w:r>
              <w:rPr>
                <w:sz w:val="18"/>
              </w:rPr>
            </w:r>
            <w:r>
              <w:rPr>
                <w:sz w:val="18"/>
              </w:rPr>
              <w:t xml:space="preserve">valoare fiscală de intrare </w:t>
            </w:r>
            <w:r>
              <w:rPr>
                <w:b/>
                <w:sz w:val="18"/>
              </w:rPr>
              <w:t>≥ 5.000 lei</w:t>
            </w:r>
          </w:p>
        </w:tc>
        <w:tc>
          <w:tcPr>
            <w:tcW w:type="dxa" w:w="4320"/>
          </w:tcPr>
          <w:p>
            <w:pPr>
              <w:spacing w:after="40"/>
            </w:pPr>
            <w:r>
              <w:rPr>
                <w:sz w:val="18"/>
              </w:rPr>
            </w:r>
            <w:r>
              <w:rPr>
                <w:sz w:val="18"/>
              </w:rPr>
              <w:t>ȘI</w:t>
            </w:r>
          </w:p>
        </w:tc>
      </w:tr>
      <w:tr>
        <w:tc>
          <w:tcPr>
            <w:tcW w:type="dxa" w:w="4320"/>
          </w:tcPr>
          <w:p>
            <w:pPr>
              <w:spacing w:after="40"/>
            </w:pPr>
            <w:r>
              <w:rPr>
                <w:sz w:val="18"/>
              </w:rPr>
            </w:r>
            <w:r>
              <w:rPr>
                <w:sz w:val="18"/>
              </w:rPr>
              <w:t xml:space="preserve">durată normală de utilizare </w:t>
            </w:r>
            <w:r>
              <w:rPr>
                <w:b/>
                <w:sz w:val="18"/>
              </w:rPr>
              <w:t>&gt; 1 an</w:t>
            </w:r>
          </w:p>
        </w:tc>
        <w:tc>
          <w:tcPr>
            <w:tcW w:type="dxa" w:w="4320"/>
          </w:tcPr>
          <w:p>
            <w:pPr>
              <w:spacing w:after="40"/>
            </w:pPr>
            <w:r>
              <w:rPr>
                <w:sz w:val="18"/>
              </w:rPr>
            </w:r>
          </w:p>
        </w:tc>
      </w:tr>
    </w:tbl>
    <w:p/>
    <w:p>
      <w:pPr>
        <w:jc w:val="both"/>
      </w:pPr>
      <w:r>
        <w:t xml:space="preserve">Deci: laptop de 4.000 lei folosit 4 ani → </w:t>
      </w:r>
      <w:r>
        <w:rPr>
          <w:b/>
        </w:rPr>
        <w:t>obiect de inventar</w:t>
      </w:r>
      <w:r>
        <w:t xml:space="preserve"> (303), nu mijloc fix. Exact invers față de ce zicea notița.</w:t>
      </w:r>
    </w:p>
    <w:p>
      <w:pPr>
        <w:jc w:val="both"/>
      </w:pPr>
      <w:r>
        <w:t xml:space="preserve">✅ Observația că majoritatea societăților </w:t>
      </w:r>
      <w:r>
        <w:rPr>
          <w:i/>
        </w:rPr>
        <w:t>preferă</w:t>
      </w:r>
      <w:r>
        <w:t xml:space="preserve"> obiectele de inventar este corectă și e chiar motivul economic al majorării pragului: deducere imediată, avantaj de cash-flow, mai puțină birocrație (fără registru de mijloace fixe, fără calcul lunar de amortizare).</w:t>
      </w:r>
    </w:p>
    <w:p>
      <w:pPr>
        <w:pStyle w:val="Heading3"/>
      </w:pPr>
      <w:r>
        <w:t>3.5 Darea în folosință și contul 8035</w:t>
      </w:r>
    </w:p>
    <w:p>
      <w:pPr>
        <w:ind w:left="280"/>
      </w:pPr>
      <w:r>
        <w:rPr>
          <w:rFonts w:ascii="Consolas" w:hAnsi="Consolas"/>
          <w:sz w:val="18"/>
        </w:rPr>
        <w:t>603         =  303          (darea în consum/folosință)</w:t>
        <w:br/>
        <w:t>Debit 8035                  (extrabilanțier, simultan)</w:t>
      </w:r>
    </w:p>
    <w:p>
      <w:pPr>
        <w:jc w:val="both"/>
      </w:pPr>
      <w:r>
        <w:t>La casare sau vânzare a obiectului de inventar:</w:t>
      </w:r>
    </w:p>
    <w:p>
      <w:pPr>
        <w:ind w:left="280"/>
      </w:pPr>
      <w:r>
        <w:rPr>
          <w:rFonts w:ascii="Consolas" w:hAnsi="Consolas"/>
          <w:sz w:val="18"/>
        </w:rPr>
        <w:t>Credit 8035</w:t>
      </w:r>
    </w:p>
    <w:p>
      <w:pPr>
        <w:jc w:val="both"/>
      </w:pPr>
      <w:r>
        <w:rPr>
          <w:b/>
        </w:rPr>
        <w:t>8035 „Stocuri de natura obiectelor de inventar date în folosință"</w:t>
      </w:r>
      <w:r>
        <w:t xml:space="preserve"> — cont în afara bilanțului.</w:t>
      </w:r>
    </w:p>
    <w:p>
      <w:pPr>
        <w:jc w:val="both"/>
      </w:pPr>
      <w:r>
        <w:t xml:space="preserve">✅ Raționamentul din notițe este corect și merită subliniat: prin darea în folosință, obiectele de inventar </w:t>
      </w:r>
      <w:r>
        <w:rPr>
          <w:b/>
        </w:rPr>
        <w:t>dispar din balanță</w:t>
      </w:r>
      <w:r>
        <w:t xml:space="preserve"> (603 se închide la 121, deci devine 0). Fără 8035 nu mai ai nicio evidență contabilă a bunurilor care fizic există și sunt folosite în societate.</w:t>
      </w:r>
    </w:p>
    <w:p>
      <w:pPr>
        <w:jc w:val="both"/>
      </w:pPr>
      <w:r>
        <w:t xml:space="preserve">➕ De aceea 303→603 și 8035 se fac </w:t>
      </w:r>
      <w:r>
        <w:rPr>
          <w:b/>
        </w:rPr>
        <w:t>concomitent</w:t>
      </w:r>
      <w:r>
        <w:t>. Un soft bun le generează automat din același document. Dacă nu o face, e o slăbiciune reală, nu un moft.</w:t>
      </w:r>
    </w:p>
    <w:p>
      <w:pPr>
        <w:jc w:val="both"/>
      </w:pPr>
      <w:r>
        <w:t xml:space="preserve">❓ </w:t>
      </w:r>
      <w:r>
        <w:rPr>
          <w:b/>
        </w:rPr>
        <w:t>Întrebarea de pus către furnizorul de soft</w:t>
      </w:r>
      <w:r>
        <w:t xml:space="preserve"> (era formulată în notițe, o păstrez ca sarcină concretă):</w:t>
      </w:r>
    </w:p>
    <w:p>
      <w:pPr>
        <w:ind w:left="360"/>
      </w:pPr>
      <w:r>
        <w:rPr>
          <w:i/>
          <w:color w:val="5D6E7E"/>
        </w:rPr>
        <w:t>„La inventariere, îmi puteți lista separat obiectele de inventar date în folosință, cu valoare și loc de folosință, ca să pot confrunta valoarea scriptică (8035) cu cea faptică de pe teren?"</w:t>
      </w:r>
    </w:p>
    <w:p>
      <w:pPr>
        <w:jc w:val="both"/>
      </w:pPr>
      <w:r>
        <w:t>Fără lista asta, inventarierea obiectelor de inventar nu se poate face — și e o constatare frecventă la audit.</w:t>
      </w:r>
    </w:p>
    <w:p>
      <w:pPr>
        <w:spacing w:before="40" w:after="160"/>
        <w:pBdr>
          <w:bottom w:val="single" w:sz="6" w:color="DBE3EA"/>
        </w:pBdr>
      </w:pPr>
    </w:p>
    <w:p>
      <w:pPr>
        <w:pStyle w:val="Heading2"/>
      </w:pPr>
      <w:r>
        <w:t>4. Stocuri în curs de aprovizionare (32x)</w:t>
      </w:r>
    </w:p>
    <w:p>
      <w:pPr>
        <w:jc w:val="both"/>
      </w:pPr>
      <w:r>
        <w:rPr>
          <w:b/>
        </w:rPr>
        <w:t>Situația:</w:t>
      </w:r>
      <w:r>
        <w:t xml:space="preserve"> ai factura (o vezi în SPV / e-Factura), proprietatea a trecut la tine conform condiției de livrare, dar </w:t>
      </w:r>
      <w:r>
        <w:rPr>
          <w:b/>
        </w:rPr>
        <w:t>marfa nu a ajuns fizic în gestiune</w:t>
      </w:r>
      <w:r>
        <w:t>. Clasic la sfârșit de lună: factura e din 30, marfa ajunge pe 2–3.</w:t>
      </w:r>
    </w:p>
    <w:p>
      <w:pPr>
        <w:jc w:val="both"/>
      </w:pPr>
      <w:r>
        <w:t>Legiuitorul a prevăzut asta prin conturile 32x. Fără ele ai fi forțat fie să înregistrezi un stoc care nu există fizic, fie să nu înregistrezi factura — ambele greșite.</w:t>
      </w:r>
    </w:p>
    <w:p>
      <w:pPr>
        <w:pStyle w:val="Heading3"/>
      </w:pPr>
      <w:r>
        <w:t>4.1 Nomenclatorul complet</w:t>
      </w:r>
    </w:p>
    <w:p>
      <w:pPr>
        <w:jc w:val="both"/>
      </w:pPr>
      <w:r>
        <w:t>⚠️ Notițele aveau corespondențele parțial amestecate. Forma corectă:</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În curs de aprovizionare</w:t>
            </w:r>
          </w:p>
        </w:tc>
        <w:tc>
          <w:tcPr>
            <w:tcW w:type="dxa" w:w="2880"/>
          </w:tcPr>
          <w:p>
            <w:pPr>
              <w:spacing w:after="40"/>
            </w:pPr>
            <w:r>
              <w:rPr>
                <w:b/>
                <w:sz w:val="18"/>
              </w:rPr>
            </w:r>
            <w:r>
              <w:rPr>
                <w:b/>
                <w:sz w:val="18"/>
              </w:rPr>
              <w:t>Se transferă în</w:t>
            </w:r>
          </w:p>
        </w:tc>
        <w:tc>
          <w:tcPr>
            <w:tcW w:type="dxa" w:w="2880"/>
          </w:tcPr>
          <w:p>
            <w:pPr>
              <w:spacing w:after="40"/>
            </w:pPr>
            <w:r>
              <w:rPr>
                <w:b/>
                <w:sz w:val="18"/>
              </w:rPr>
            </w:r>
            <w:r>
              <w:rPr>
                <w:b/>
                <w:sz w:val="18"/>
              </w:rPr>
              <w:t>Denumire destinație</w:t>
            </w:r>
          </w:p>
        </w:tc>
      </w:tr>
      <w:tr>
        <w:tc>
          <w:tcPr>
            <w:tcW w:type="dxa" w:w="2880"/>
          </w:tcPr>
          <w:p>
            <w:pPr>
              <w:spacing w:after="40"/>
            </w:pPr>
            <w:r>
              <w:rPr>
                <w:sz w:val="18"/>
              </w:rPr>
            </w:r>
            <w:r>
              <w:rPr>
                <w:b/>
                <w:sz w:val="18"/>
              </w:rPr>
              <w:t>321</w:t>
            </w:r>
          </w:p>
        </w:tc>
        <w:tc>
          <w:tcPr>
            <w:tcW w:type="dxa" w:w="2880"/>
          </w:tcPr>
          <w:p>
            <w:pPr>
              <w:spacing w:after="40"/>
            </w:pPr>
            <w:r>
              <w:rPr>
                <w:sz w:val="18"/>
              </w:rPr>
            </w:r>
            <w:r>
              <w:rPr>
                <w:b/>
                <w:sz w:val="18"/>
              </w:rPr>
              <w:t>301</w:t>
            </w:r>
          </w:p>
        </w:tc>
        <w:tc>
          <w:tcPr>
            <w:tcW w:type="dxa" w:w="2880"/>
          </w:tcPr>
          <w:p>
            <w:pPr>
              <w:spacing w:after="40"/>
            </w:pPr>
            <w:r>
              <w:rPr>
                <w:sz w:val="18"/>
              </w:rPr>
            </w:r>
            <w:r>
              <w:rPr>
                <w:sz w:val="18"/>
              </w:rPr>
              <w:t>Materii prime</w:t>
            </w:r>
          </w:p>
        </w:tc>
      </w:tr>
      <w:tr>
        <w:tc>
          <w:tcPr>
            <w:tcW w:type="dxa" w:w="2880"/>
          </w:tcPr>
          <w:p>
            <w:pPr>
              <w:spacing w:after="40"/>
            </w:pPr>
            <w:r>
              <w:rPr>
                <w:sz w:val="18"/>
              </w:rPr>
            </w:r>
            <w:r>
              <w:rPr>
                <w:b/>
                <w:sz w:val="18"/>
              </w:rPr>
              <w:t>322</w:t>
            </w:r>
          </w:p>
        </w:tc>
        <w:tc>
          <w:tcPr>
            <w:tcW w:type="dxa" w:w="2880"/>
          </w:tcPr>
          <w:p>
            <w:pPr>
              <w:spacing w:after="40"/>
            </w:pPr>
            <w:r>
              <w:rPr>
                <w:sz w:val="18"/>
              </w:rPr>
            </w:r>
            <w:r>
              <w:rPr>
                <w:b/>
                <w:sz w:val="18"/>
              </w:rPr>
              <w:t>302</w:t>
            </w:r>
          </w:p>
        </w:tc>
        <w:tc>
          <w:tcPr>
            <w:tcW w:type="dxa" w:w="2880"/>
          </w:tcPr>
          <w:p>
            <w:pPr>
              <w:spacing w:after="40"/>
            </w:pPr>
            <w:r>
              <w:rPr>
                <w:sz w:val="18"/>
              </w:rPr>
            </w:r>
            <w:r>
              <w:rPr>
                <w:sz w:val="18"/>
              </w:rPr>
              <w:t>Materiale consumabile</w:t>
            </w:r>
          </w:p>
        </w:tc>
      </w:tr>
      <w:tr>
        <w:tc>
          <w:tcPr>
            <w:tcW w:type="dxa" w:w="2880"/>
          </w:tcPr>
          <w:p>
            <w:pPr>
              <w:spacing w:after="40"/>
            </w:pPr>
            <w:r>
              <w:rPr>
                <w:sz w:val="18"/>
              </w:rPr>
            </w:r>
            <w:r>
              <w:rPr>
                <w:b/>
                <w:sz w:val="18"/>
              </w:rPr>
              <w:t>323</w:t>
            </w:r>
          </w:p>
        </w:tc>
        <w:tc>
          <w:tcPr>
            <w:tcW w:type="dxa" w:w="2880"/>
          </w:tcPr>
          <w:p>
            <w:pPr>
              <w:spacing w:after="40"/>
            </w:pPr>
            <w:r>
              <w:rPr>
                <w:sz w:val="18"/>
              </w:rPr>
            </w:r>
            <w:r>
              <w:rPr>
                <w:b/>
                <w:sz w:val="18"/>
              </w:rPr>
              <w:t>303</w:t>
            </w:r>
          </w:p>
        </w:tc>
        <w:tc>
          <w:tcPr>
            <w:tcW w:type="dxa" w:w="2880"/>
          </w:tcPr>
          <w:p>
            <w:pPr>
              <w:spacing w:after="40"/>
            </w:pPr>
            <w:r>
              <w:rPr>
                <w:sz w:val="18"/>
              </w:rPr>
            </w:r>
            <w:r>
              <w:rPr>
                <w:sz w:val="18"/>
              </w:rPr>
              <w:t>Materiale de natura obiectelor de inventar</w:t>
            </w:r>
          </w:p>
        </w:tc>
      </w:tr>
      <w:tr>
        <w:tc>
          <w:tcPr>
            <w:tcW w:type="dxa" w:w="2880"/>
          </w:tcPr>
          <w:p>
            <w:pPr>
              <w:spacing w:after="40"/>
            </w:pPr>
            <w:r>
              <w:rPr>
                <w:sz w:val="18"/>
              </w:rPr>
            </w:r>
            <w:r>
              <w:rPr>
                <w:b/>
                <w:sz w:val="18"/>
              </w:rPr>
              <w:t>326</w:t>
            </w:r>
          </w:p>
        </w:tc>
        <w:tc>
          <w:tcPr>
            <w:tcW w:type="dxa" w:w="2880"/>
          </w:tcPr>
          <w:p>
            <w:pPr>
              <w:spacing w:after="40"/>
            </w:pPr>
            <w:r>
              <w:rPr>
                <w:sz w:val="18"/>
              </w:rPr>
            </w:r>
            <w:r>
              <w:rPr>
                <w:b/>
                <w:sz w:val="18"/>
              </w:rPr>
              <w:t>361</w:t>
            </w:r>
          </w:p>
        </w:tc>
        <w:tc>
          <w:tcPr>
            <w:tcW w:type="dxa" w:w="2880"/>
          </w:tcPr>
          <w:p>
            <w:pPr>
              <w:spacing w:after="40"/>
            </w:pPr>
            <w:r>
              <w:rPr>
                <w:sz w:val="18"/>
              </w:rPr>
            </w:r>
            <w:r>
              <w:rPr>
                <w:sz w:val="18"/>
              </w:rPr>
              <w:t>Active biologice de natura stocurilor</w:t>
            </w:r>
          </w:p>
        </w:tc>
      </w:tr>
      <w:tr>
        <w:tc>
          <w:tcPr>
            <w:tcW w:type="dxa" w:w="2880"/>
          </w:tcPr>
          <w:p>
            <w:pPr>
              <w:spacing w:after="40"/>
            </w:pPr>
            <w:r>
              <w:rPr>
                <w:sz w:val="18"/>
              </w:rPr>
            </w:r>
            <w:r>
              <w:rPr>
                <w:b/>
                <w:sz w:val="18"/>
              </w:rPr>
              <w:t>327</w:t>
            </w:r>
          </w:p>
        </w:tc>
        <w:tc>
          <w:tcPr>
            <w:tcW w:type="dxa" w:w="2880"/>
          </w:tcPr>
          <w:p>
            <w:pPr>
              <w:spacing w:after="40"/>
            </w:pPr>
            <w:r>
              <w:rPr>
                <w:sz w:val="18"/>
              </w:rPr>
            </w:r>
            <w:r>
              <w:rPr>
                <w:b/>
                <w:sz w:val="18"/>
              </w:rPr>
              <w:t>371</w:t>
            </w:r>
          </w:p>
        </w:tc>
        <w:tc>
          <w:tcPr>
            <w:tcW w:type="dxa" w:w="2880"/>
          </w:tcPr>
          <w:p>
            <w:pPr>
              <w:spacing w:after="40"/>
            </w:pPr>
            <w:r>
              <w:rPr>
                <w:sz w:val="18"/>
              </w:rPr>
            </w:r>
            <w:r>
              <w:rPr>
                <w:sz w:val="18"/>
              </w:rPr>
              <w:t>Mărfuri</w:t>
            </w:r>
          </w:p>
        </w:tc>
      </w:tr>
      <w:tr>
        <w:tc>
          <w:tcPr>
            <w:tcW w:type="dxa" w:w="2880"/>
          </w:tcPr>
          <w:p>
            <w:pPr>
              <w:spacing w:after="40"/>
            </w:pPr>
            <w:r>
              <w:rPr>
                <w:sz w:val="18"/>
              </w:rPr>
            </w:r>
            <w:r>
              <w:rPr>
                <w:b/>
                <w:sz w:val="18"/>
              </w:rPr>
              <w:t>328</w:t>
            </w:r>
          </w:p>
        </w:tc>
        <w:tc>
          <w:tcPr>
            <w:tcW w:type="dxa" w:w="2880"/>
          </w:tcPr>
          <w:p>
            <w:pPr>
              <w:spacing w:after="40"/>
            </w:pPr>
            <w:r>
              <w:rPr>
                <w:sz w:val="18"/>
              </w:rPr>
            </w:r>
            <w:r>
              <w:rPr>
                <w:b/>
                <w:sz w:val="18"/>
              </w:rPr>
              <w:t>381</w:t>
            </w:r>
          </w:p>
        </w:tc>
        <w:tc>
          <w:tcPr>
            <w:tcW w:type="dxa" w:w="2880"/>
          </w:tcPr>
          <w:p>
            <w:pPr>
              <w:spacing w:after="40"/>
            </w:pPr>
            <w:r>
              <w:rPr>
                <w:sz w:val="18"/>
              </w:rPr>
            </w:r>
            <w:r>
              <w:rPr>
                <w:sz w:val="18"/>
              </w:rPr>
              <w:t>Ambalaje</w:t>
            </w:r>
          </w:p>
        </w:tc>
      </w:tr>
    </w:tbl>
    <w:p/>
    <w:p>
      <w:pPr>
        <w:jc w:val="both"/>
      </w:pPr>
      <w:r>
        <w:t xml:space="preserve">(În notițe apărea „303 = 323" — corect — dar și „371 = 327" scris ca „371 - 327", corect ca sens, doar notat inconsistent. </w:t>
      </w:r>
      <w:r>
        <w:rPr>
          <w:rFonts w:ascii="Consolas" w:hAnsi="Consolas"/>
          <w:color w:val="1F4E79"/>
          <w:sz w:val="19"/>
        </w:rPr>
        <w:t>302 = 322</w:t>
      </w:r>
      <w:r>
        <w:t xml:space="preserve"> lipsea complet.)</w:t>
      </w:r>
    </w:p>
    <w:p>
      <w:pPr>
        <w:pStyle w:val="Heading3"/>
      </w:pPr>
      <w:r>
        <w:t>4.2 Fluxul complet</w:t>
      </w:r>
    </w:p>
    <w:p>
      <w:pPr>
        <w:jc w:val="both"/>
      </w:pPr>
      <w:r>
        <w:rPr>
          <w:b/>
        </w:rPr>
        <w:t>Luna 1 — primesc factura, marfa e pe drum:</w:t>
      </w:r>
    </w:p>
    <w:p>
      <w:pPr>
        <w:ind w:left="280"/>
      </w:pPr>
      <w:r>
        <w:rPr>
          <w:rFonts w:ascii="Consolas" w:hAnsi="Consolas"/>
          <w:sz w:val="18"/>
        </w:rPr>
        <w:t>321         =  401           100.000</w:t>
        <w:br/>
        <w:t>4426        =  401            21.000        (achiziție internă)</w:t>
        <w:br/>
        <w:t xml:space="preserve">   sau</w:t>
        <w:br/>
        <w:t>4426        =  4427           21.000        (achiziție intracomunitară)</w:t>
      </w:r>
    </w:p>
    <w:p>
      <w:pPr>
        <w:jc w:val="both"/>
      </w:pPr>
      <w:r>
        <w:rPr>
          <w:b/>
        </w:rPr>
        <w:t>Luna 2 — marfa ajunge în curte, gestionarul confirmă recepția (NIR):</w:t>
      </w:r>
    </w:p>
    <w:p>
      <w:pPr>
        <w:ind w:left="280"/>
      </w:pPr>
      <w:r>
        <w:rPr>
          <w:rFonts w:ascii="Consolas" w:hAnsi="Consolas"/>
          <w:sz w:val="18"/>
        </w:rPr>
        <w:t>301         =  321           100.000</w:t>
      </w:r>
    </w:p>
    <w:p>
      <w:pPr>
        <w:jc w:val="both"/>
      </w:pPr>
      <w:r>
        <w:rPr>
          <w:b/>
        </w:rPr>
        <w:t>Luna 2 sau ulterior — consum, pe bon de consum:</w:t>
      </w:r>
    </w:p>
    <w:p>
      <w:pPr>
        <w:ind w:left="280"/>
      </w:pPr>
      <w:r>
        <w:rPr>
          <w:rFonts w:ascii="Consolas" w:hAnsi="Consolas"/>
          <w:sz w:val="18"/>
        </w:rPr>
        <w:t>601         =  301           100.000</w:t>
      </w:r>
    </w:p>
    <w:p>
      <w:pPr>
        <w:jc w:val="both"/>
      </w:pPr>
      <w:r>
        <w:t xml:space="preserve">➕ </w:t>
      </w:r>
      <w:r>
        <w:rPr>
          <w:b/>
        </w:rPr>
        <w:t>Documentul care declanșează pasul 2 este NIR-ul semnat de gestionar.</w:t>
      </w:r>
      <w:r>
        <w:t xml:space="preserve"> Nu confirmarea verbală. Dacă gestionarul nu semnează, marfa rămâne în 32x — și atunci ai o discuție de purtat cu clientul despre de ce.</w:t>
      </w:r>
    </w:p>
    <w:p>
      <w:pPr>
        <w:spacing w:before="40" w:after="160"/>
        <w:pBdr>
          <w:bottom w:val="single" w:sz="6" w:color="DBE3EA"/>
        </w:pBdr>
      </w:pPr>
    </w:p>
    <w:p>
      <w:pPr>
        <w:pStyle w:val="Heading2"/>
      </w:pPr>
      <w:r>
        <w:t>5. Taxarea inversă pe teritoriul României (art. 331 Cod fiscal)</w:t>
      </w:r>
    </w:p>
    <w:p>
      <w:pPr>
        <w:pStyle w:val="Heading3"/>
      </w:pPr>
      <w:r>
        <w:t>5.1 Condiția obligatorie — de reținut pe de rost</w:t>
      </w:r>
    </w:p>
    <w:p>
      <w:pPr>
        <w:ind w:left="360"/>
      </w:pPr>
      <w:r>
        <w:rPr>
          <w:b/>
          <w:i/>
          <w:color w:val="5D6E7E"/>
        </w:rPr>
        <w:t>AMBII PARTENERI trebuie să fie înregistrați în scopuri de TVA conform art. 316.</w:t>
      </w:r>
    </w:p>
    <w:p>
      <w:pPr>
        <w:jc w:val="both"/>
      </w:pPr>
      <w:r>
        <w:t>✅ Notița are dreptate să o marcheze cu semnul exclamării. Este singura condiție de fond, și e cea care se ratează cel mai des.</w:t>
      </w:r>
    </w:p>
    <w:p>
      <w:pPr>
        <w:jc w:val="both"/>
      </w:pPr>
      <w:r>
        <w:rPr>
          <w:b/>
        </w:rPr>
        <w:t>Regulă practică:</w:t>
      </w:r>
      <w:r>
        <w:t xml:space="preserve"> când vezi mențiunea „taxare inversă" pe o factură primită, primul lucru pe care îl faci este să verifici </w:t>
      </w:r>
      <w:r>
        <w:rPr>
          <w:b/>
        </w:rPr>
        <w:t>codul de TVA al furnizorului la data facturii</w:t>
      </w:r>
      <w:r>
        <w:t xml:space="preserve"> — nu la data la care înregistrezi tu.</w:t>
      </w:r>
    </w:p>
    <w:p>
      <w:pPr>
        <w:jc w:val="both"/>
      </w:pPr>
      <w:r>
        <w:t xml:space="preserve">⚠️ </w:t>
      </w:r>
      <w:r>
        <w:rPr>
          <w:b/>
        </w:rPr>
        <w:t>Consecința nerespectării, care nu era în notițe și e importantă:</w:t>
      </w:r>
      <w:r>
        <w:t xml:space="preserve"> dacă furnizorul emite greșit factură </w:t>
      </w:r>
      <w:r>
        <w:rPr>
          <w:b/>
        </w:rPr>
        <w:t>cu TVA</w:t>
      </w:r>
      <w:r>
        <w:t xml:space="preserve"> pentru o operațiune care intra la taxare inversă, iar tu deduci acel TVA, </w:t>
      </w:r>
      <w:r>
        <w:rPr>
          <w:b/>
        </w:rPr>
        <w:t>pierzi dreptul de deducere</w:t>
      </w:r>
      <w:r>
        <w:t xml:space="preserve"> pe acea achiziție. Condițiile de fond ale taxării inverse nu au fost respectate, iar factura e greșit întocmită. Nu te salvează faptul că ai plătit TVA-ul furnizorului. Se cere factură corectată.</w:t>
      </w:r>
    </w:p>
    <w:p>
      <w:pPr>
        <w:pStyle w:val="Heading3"/>
      </w:pPr>
      <w:r>
        <w:t>5.2 Logica economică</w:t>
      </w:r>
    </w:p>
    <w:p>
      <w:pPr>
        <w:jc w:val="both"/>
      </w:pPr>
      <w:r>
        <w:t xml:space="preserve">România are categorii de produse cu </w:t>
      </w:r>
      <w:r>
        <w:rPr>
          <w:b/>
        </w:rPr>
        <w:t>risc fiscal ridicat</w:t>
      </w:r>
      <w:r>
        <w:t xml:space="preserve"> (fraudă de tip carusel, firme fantomă). Statul zice, în esență: </w:t>
      </w:r>
      <w:r>
        <w:rPr>
          <w:i/>
        </w:rPr>
        <w:t>nu mai deduci tu TVA-ul, pentru că nu am garanția că celălalt îl colectează și îl varsă</w:t>
      </w:r>
      <w:r>
        <w:t>. Prin taxare inversă, banii nu mai circulă între parteneri, deci nu mai există ce să dispară.</w:t>
      </w:r>
    </w:p>
    <w:p>
      <w:pPr>
        <w:pStyle w:val="Heading3"/>
      </w:pPr>
      <w:r>
        <w:t>5.3 Categoriile (art. 331 alin. 2)</w:t>
      </w:r>
    </w:p>
    <w:p>
      <w:pPr>
        <w:jc w:val="both"/>
      </w:pPr>
      <w:r>
        <w:t>⚠️ Notițele listau doar „cheresteaua, imobile noi, x". Lista principalelor categorii:</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Categorie</w:t>
            </w:r>
          </w:p>
        </w:tc>
        <w:tc>
          <w:tcPr>
            <w:tcW w:type="dxa" w:w="4320"/>
          </w:tcPr>
          <w:p>
            <w:pPr>
              <w:spacing w:after="40"/>
            </w:pPr>
            <w:r>
              <w:rPr>
                <w:b/>
                <w:sz w:val="18"/>
              </w:rPr>
            </w:r>
            <w:r>
              <w:rPr>
                <w:b/>
                <w:sz w:val="18"/>
              </w:rPr>
              <w:t>Observații</w:t>
            </w:r>
          </w:p>
        </w:tc>
      </w:tr>
      <w:tr>
        <w:tc>
          <w:tcPr>
            <w:tcW w:type="dxa" w:w="4320"/>
          </w:tcPr>
          <w:p>
            <w:pPr>
              <w:spacing w:after="40"/>
            </w:pPr>
            <w:r>
              <w:rPr>
                <w:sz w:val="18"/>
              </w:rPr>
            </w:r>
            <w:r>
              <w:rPr>
                <w:sz w:val="18"/>
              </w:rPr>
              <w:t>Deșeuri feroase și neferoase, rebuturi, semifabricate rezultate din prelucrarea lor</w:t>
            </w:r>
          </w:p>
        </w:tc>
        <w:tc>
          <w:tcPr>
            <w:tcW w:type="dxa" w:w="4320"/>
          </w:tcPr>
          <w:p>
            <w:pPr>
              <w:spacing w:after="40"/>
            </w:pPr>
            <w:r>
              <w:rPr>
                <w:sz w:val="18"/>
              </w:rPr>
            </w:r>
          </w:p>
        </w:tc>
      </w:tr>
      <w:tr>
        <w:tc>
          <w:tcPr>
            <w:tcW w:type="dxa" w:w="4320"/>
          </w:tcPr>
          <w:p>
            <w:pPr>
              <w:spacing w:after="40"/>
            </w:pPr>
            <w:r>
              <w:rPr>
                <w:sz w:val="18"/>
              </w:rPr>
            </w:r>
            <w:r>
              <w:rPr>
                <w:sz w:val="18"/>
              </w:rPr>
              <w:t>Reziduuri și alte materiale reciclabile (hârtie, carton, textile, cauciuc, plastic, sticlă)</w:t>
            </w:r>
          </w:p>
        </w:tc>
        <w:tc>
          <w:tcPr>
            <w:tcW w:type="dxa" w:w="4320"/>
          </w:tcPr>
          <w:p>
            <w:pPr>
              <w:spacing w:after="40"/>
            </w:pPr>
            <w:r>
              <w:rPr>
                <w:sz w:val="18"/>
              </w:rPr>
            </w:r>
          </w:p>
        </w:tc>
      </w:tr>
      <w:tr>
        <w:tc>
          <w:tcPr>
            <w:tcW w:type="dxa" w:w="4320"/>
          </w:tcPr>
          <w:p>
            <w:pPr>
              <w:spacing w:after="40"/>
            </w:pPr>
            <w:r>
              <w:rPr>
                <w:sz w:val="18"/>
              </w:rPr>
            </w:r>
            <w:r>
              <w:rPr>
                <w:sz w:val="18"/>
              </w:rPr>
              <w:t>Deșeuri de materiale feroase/neferoase și aliaje</w:t>
            </w:r>
          </w:p>
        </w:tc>
        <w:tc>
          <w:tcPr>
            <w:tcW w:type="dxa" w:w="4320"/>
          </w:tcPr>
          <w:p>
            <w:pPr>
              <w:spacing w:after="40"/>
            </w:pPr>
            <w:r>
              <w:rPr>
                <w:sz w:val="18"/>
              </w:rPr>
            </w:r>
          </w:p>
        </w:tc>
      </w:tr>
      <w:tr>
        <w:tc>
          <w:tcPr>
            <w:tcW w:type="dxa" w:w="4320"/>
          </w:tcPr>
          <w:p>
            <w:pPr>
              <w:spacing w:after="40"/>
            </w:pPr>
            <w:r>
              <w:rPr>
                <w:sz w:val="18"/>
              </w:rPr>
            </w:r>
            <w:r>
              <w:rPr>
                <w:b/>
                <w:sz w:val="18"/>
              </w:rPr>
              <w:t>Masă lemnoasă și materiale lemnoase</w:t>
            </w:r>
            <w:r>
              <w:rPr>
                <w:sz w:val="18"/>
              </w:rPr>
              <w:t xml:space="preserve"> (Codul silvic, L. 46/2008)</w:t>
            </w:r>
          </w:p>
        </w:tc>
        <w:tc>
          <w:tcPr>
            <w:tcW w:type="dxa" w:w="4320"/>
          </w:tcPr>
          <w:p>
            <w:pPr>
              <w:spacing w:after="40"/>
            </w:pPr>
            <w:r>
              <w:rPr>
                <w:sz w:val="18"/>
              </w:rPr>
            </w:r>
            <w:r>
              <w:rPr>
                <w:b/>
                <w:sz w:val="18"/>
              </w:rPr>
              <w:t>cheresteaua intră aici</w:t>
            </w:r>
          </w:p>
        </w:tc>
      </w:tr>
      <w:tr>
        <w:tc>
          <w:tcPr>
            <w:tcW w:type="dxa" w:w="4320"/>
          </w:tcPr>
          <w:p>
            <w:pPr>
              <w:spacing w:after="40"/>
            </w:pPr>
            <w:r>
              <w:rPr>
                <w:sz w:val="18"/>
              </w:rPr>
            </w:r>
            <w:r>
              <w:rPr>
                <w:sz w:val="18"/>
              </w:rPr>
              <w:t>Cereale și plante tehnice, semințe oleaginoase, sfeclă de zahăr</w:t>
            </w:r>
          </w:p>
        </w:tc>
        <w:tc>
          <w:tcPr>
            <w:tcW w:type="dxa" w:w="4320"/>
          </w:tcPr>
          <w:p>
            <w:pPr>
              <w:spacing w:after="40"/>
            </w:pPr>
            <w:r>
              <w:rPr>
                <w:sz w:val="18"/>
              </w:rPr>
            </w:r>
            <w:r>
              <w:rPr>
                <w:sz w:val="18"/>
              </w:rPr>
              <w:t>pe coduri NC din norme</w:t>
            </w:r>
          </w:p>
        </w:tc>
      </w:tr>
      <w:tr>
        <w:tc>
          <w:tcPr>
            <w:tcW w:type="dxa" w:w="4320"/>
          </w:tcPr>
          <w:p>
            <w:pPr>
              <w:spacing w:after="40"/>
            </w:pPr>
            <w:r>
              <w:rPr>
                <w:sz w:val="18"/>
              </w:rPr>
            </w:r>
            <w:r>
              <w:rPr>
                <w:sz w:val="18"/>
              </w:rPr>
              <w:t>Transferul de certificate de emisii de gaze cu efect de seră</w:t>
            </w:r>
          </w:p>
        </w:tc>
        <w:tc>
          <w:tcPr>
            <w:tcW w:type="dxa" w:w="4320"/>
          </w:tcPr>
          <w:p>
            <w:pPr>
              <w:spacing w:after="40"/>
            </w:pPr>
            <w:r>
              <w:rPr>
                <w:sz w:val="18"/>
              </w:rPr>
            </w:r>
          </w:p>
        </w:tc>
      </w:tr>
      <w:tr>
        <w:tc>
          <w:tcPr>
            <w:tcW w:type="dxa" w:w="4320"/>
          </w:tcPr>
          <w:p>
            <w:pPr>
              <w:spacing w:after="40"/>
            </w:pPr>
            <w:r>
              <w:rPr>
                <w:sz w:val="18"/>
              </w:rPr>
            </w:r>
            <w:r>
              <w:rPr>
                <w:sz w:val="18"/>
              </w:rPr>
              <w:t>Energia electrică către un comerciant persoană impozabilă</w:t>
            </w:r>
          </w:p>
        </w:tc>
        <w:tc>
          <w:tcPr>
            <w:tcW w:type="dxa" w:w="4320"/>
          </w:tcPr>
          <w:p>
            <w:pPr>
              <w:spacing w:after="40"/>
            </w:pPr>
            <w:r>
              <w:rPr>
                <w:sz w:val="18"/>
              </w:rPr>
            </w:r>
            <w:r>
              <w:rPr>
                <w:sz w:val="18"/>
              </w:rPr>
              <w:t>condiție: consum propriu neglijabil, declarat</w:t>
            </w:r>
          </w:p>
        </w:tc>
      </w:tr>
      <w:tr>
        <w:tc>
          <w:tcPr>
            <w:tcW w:type="dxa" w:w="4320"/>
          </w:tcPr>
          <w:p>
            <w:pPr>
              <w:spacing w:after="40"/>
            </w:pPr>
            <w:r>
              <w:rPr>
                <w:sz w:val="18"/>
              </w:rPr>
            </w:r>
            <w:r>
              <w:rPr>
                <w:sz w:val="18"/>
              </w:rPr>
              <w:t>Certificate verzi</w:t>
            </w:r>
          </w:p>
        </w:tc>
        <w:tc>
          <w:tcPr>
            <w:tcW w:type="dxa" w:w="4320"/>
          </w:tcPr>
          <w:p>
            <w:pPr>
              <w:spacing w:after="40"/>
            </w:pPr>
            <w:r>
              <w:rPr>
                <w:sz w:val="18"/>
              </w:rPr>
            </w:r>
          </w:p>
        </w:tc>
      </w:tr>
      <w:tr>
        <w:tc>
          <w:tcPr>
            <w:tcW w:type="dxa" w:w="4320"/>
          </w:tcPr>
          <w:p>
            <w:pPr>
              <w:spacing w:after="40"/>
            </w:pPr>
            <w:r>
              <w:rPr>
                <w:sz w:val="18"/>
              </w:rPr>
            </w:r>
            <w:r>
              <w:rPr>
                <w:b/>
                <w:sz w:val="18"/>
              </w:rPr>
              <w:t>Construcții, părți de construcții și terenuri</w:t>
            </w:r>
          </w:p>
        </w:tc>
        <w:tc>
          <w:tcPr>
            <w:tcW w:type="dxa" w:w="4320"/>
          </w:tcPr>
          <w:p>
            <w:pPr>
              <w:spacing w:after="40"/>
            </w:pPr>
            <w:r>
              <w:rPr>
                <w:sz w:val="18"/>
              </w:rPr>
            </w:r>
            <w:r>
              <w:rPr>
                <w:sz w:val="18"/>
              </w:rPr>
              <w:t>vezi mai jos</w:t>
            </w:r>
          </w:p>
        </w:tc>
      </w:tr>
      <w:tr>
        <w:tc>
          <w:tcPr>
            <w:tcW w:type="dxa" w:w="4320"/>
          </w:tcPr>
          <w:p>
            <w:pPr>
              <w:spacing w:after="40"/>
            </w:pPr>
            <w:r>
              <w:rPr>
                <w:sz w:val="18"/>
              </w:rPr>
            </w:r>
            <w:r>
              <w:rPr>
                <w:sz w:val="18"/>
              </w:rPr>
              <w:t>Telefoane mobile, dispozitive cu circuite integrate, console de jocuri, tablete, laptopuri</w:t>
            </w:r>
          </w:p>
        </w:tc>
        <w:tc>
          <w:tcPr>
            <w:tcW w:type="dxa" w:w="4320"/>
          </w:tcPr>
          <w:p>
            <w:pPr>
              <w:spacing w:after="40"/>
            </w:pPr>
            <w:r>
              <w:rPr>
                <w:sz w:val="18"/>
              </w:rPr>
            </w:r>
            <w:r>
              <w:rPr>
                <w:sz w:val="18"/>
              </w:rPr>
              <w:t xml:space="preserve">doar dacă valoarea </w:t>
            </w:r>
            <w:r>
              <w:rPr>
                <w:b/>
                <w:sz w:val="18"/>
              </w:rPr>
              <w:t>fără TVA pe factură ≥ 22.500 lei</w:t>
            </w:r>
          </w:p>
        </w:tc>
      </w:tr>
      <w:tr>
        <w:tc>
          <w:tcPr>
            <w:tcW w:type="dxa" w:w="4320"/>
          </w:tcPr>
          <w:p>
            <w:pPr>
              <w:spacing w:after="40"/>
            </w:pPr>
            <w:r>
              <w:rPr>
                <w:sz w:val="18"/>
              </w:rPr>
            </w:r>
            <w:r>
              <w:rPr>
                <w:sz w:val="18"/>
              </w:rPr>
              <w:t>Aur de investiții / materii prime din aur</w:t>
            </w:r>
          </w:p>
        </w:tc>
        <w:tc>
          <w:tcPr>
            <w:tcW w:type="dxa" w:w="4320"/>
          </w:tcPr>
          <w:p>
            <w:pPr>
              <w:spacing w:after="40"/>
            </w:pPr>
            <w:r>
              <w:rPr>
                <w:sz w:val="18"/>
              </w:rPr>
            </w:r>
          </w:p>
        </w:tc>
      </w:tr>
    </w:tbl>
    <w:p/>
    <w:p>
      <w:pPr>
        <w:jc w:val="both"/>
      </w:pPr>
      <w:r>
        <w:t xml:space="preserve">⚠️ </w:t>
      </w:r>
      <w:r>
        <w:rPr>
          <w:b/>
        </w:rPr>
        <w:t>Corecție la „imobile noi":</w:t>
      </w:r>
      <w:r>
        <w:t xml:space="preserve"> formularea legală nu este „imobile noi vândute între societăți". Textul acoperă construcțiile, părțile de construcție și terenurile </w:t>
      </w:r>
      <w:r>
        <w:rPr>
          <w:b/>
        </w:rPr>
        <w:t>pentru a căror livrare se aplică regimul de taxare — fie prin efectul legii, fie prin opțiune</w:t>
      </w:r>
      <w:r>
        <w:t>. Adică:</w:t>
      </w:r>
    </w:p>
    <w:p>
      <w:pPr>
        <w:pStyle w:val="ListBullet"/>
      </w:pPr>
      <w:r>
        <w:t>construcție nouă (taxabilă prin lege) vândută între doi plătitori → taxare inversă;</w:t>
      </w:r>
    </w:p>
    <w:p>
      <w:pPr>
        <w:pStyle w:val="ListBullet"/>
      </w:pPr>
      <w:r>
        <w:t xml:space="preserve">construcție veche (scutită prin lege) pentru care vânzătorul a </w:t>
      </w:r>
      <w:r>
        <w:rPr>
          <w:b/>
        </w:rPr>
        <w:t>depus notificarea de opțiune de taxare</w:t>
      </w:r>
      <w:r>
        <w:t xml:space="preserve"> → tot taxare inversă.</w:t>
      </w:r>
    </w:p>
    <w:p>
      <w:pPr>
        <w:jc w:val="both"/>
      </w:pPr>
      <w:r>
        <w:t>Diferența contează: dacă vânzătorul nu a depus notificarea de opțiune, operațiunea rămâne scutită și taxarea inversă nu se aplică.</w:t>
      </w:r>
    </w:p>
    <w:p>
      <w:pPr>
        <w:jc w:val="both"/>
      </w:pPr>
      <w:r>
        <w:t xml:space="preserve">⚠️ </w:t>
      </w:r>
      <w:r>
        <w:rPr>
          <w:b/>
        </w:rPr>
        <w:t>De verificat periodic:</w:t>
      </w:r>
      <w:r>
        <w:t xml:space="preserve"> o parte din categoriile de mai sus se aplică în baza unei derogări UE cu </w:t>
      </w:r>
      <w:r>
        <w:rPr>
          <w:b/>
        </w:rPr>
        <w:t>termen limită (31.12.2026)</w:t>
      </w:r>
      <w:r>
        <w:t>, prelungită succesiv de Consiliul UE. Înainte de a aplica taxarea inversă pe cereale sau pe electronice, verifică textul în vigoare al art. 331 alin. (6). Nu presupune că e prelungită automat.</w:t>
      </w:r>
    </w:p>
    <w:p>
      <w:pPr>
        <w:pStyle w:val="Heading3"/>
      </w:pPr>
      <w:r>
        <w:t>5.4 Mențiunea obligatorie pe factură</w:t>
      </w:r>
    </w:p>
    <w:p>
      <w:pPr>
        <w:jc w:val="both"/>
      </w:pPr>
      <w:r>
        <w:t>✅ Notița are dreptate, o formalizez:</w:t>
      </w:r>
    </w:p>
    <w:p>
      <w:pPr>
        <w:ind w:left="360"/>
      </w:pPr>
      <w:r>
        <w:rPr>
          <w:b/>
          <w:i/>
          <w:color w:val="5D6E7E"/>
        </w:rPr>
        <w:t>Dacă nu aplici cota standard de 21% (sau 11%), ești obligat să înscrii pe factură temeiul legal.</w:t>
      </w:r>
    </w:p>
    <w:p>
      <w:pPr>
        <w:jc w:val="both"/>
      </w:pPr>
      <w:r>
        <w:t>Art. 319 alin. (20) Cod fiscal:</w:t>
      </w:r>
    </w:p>
    <w:p>
      <w:pPr>
        <w:pStyle w:val="ListBullet"/>
      </w:pPr>
      <w:r>
        <w:rPr>
          <w:b/>
        </w:rPr>
        <w:t>lit. n)</w:t>
      </w:r>
      <w:r>
        <w:t xml:space="preserve"> — pentru operațiuni </w:t>
      </w:r>
      <w:r>
        <w:rPr>
          <w:b/>
        </w:rPr>
        <w:t>scutite</w:t>
      </w:r>
      <w:r>
        <w:t>: o referire la dispoziția aplicabilă din Codul fiscal sau din Directiva 2006/112/CE, ori orice mențiune că livrarea e scutită;</w:t>
      </w:r>
    </w:p>
    <w:p>
      <w:pPr>
        <w:pStyle w:val="ListBullet"/>
      </w:pPr>
      <w:r>
        <w:rPr>
          <w:b/>
        </w:rPr>
        <w:t>lit. o)</w:t>
      </w:r>
      <w:r>
        <w:t xml:space="preserve"> — pentru operațiuni cu taxare inversă: mențiunea </w:t>
      </w:r>
      <w:r>
        <w:rPr>
          <w:b/>
        </w:rPr>
        <w:t>„taxare inversă"</w:t>
      </w:r>
      <w:r>
        <w:t>.</w:t>
      </w:r>
    </w:p>
    <w:p>
      <w:pPr>
        <w:jc w:val="both"/>
      </w:pPr>
      <w:r>
        <w:t>Exemple de formulări corecte:</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Operațiune</w:t>
            </w:r>
          </w:p>
        </w:tc>
        <w:tc>
          <w:tcPr>
            <w:tcW w:type="dxa" w:w="4320"/>
          </w:tcPr>
          <w:p>
            <w:pPr>
              <w:spacing w:after="40"/>
            </w:pPr>
            <w:r>
              <w:rPr>
                <w:b/>
                <w:sz w:val="18"/>
              </w:rPr>
            </w:r>
            <w:r>
              <w:rPr>
                <w:b/>
                <w:sz w:val="18"/>
              </w:rPr>
              <w:t>Mențiune pe factură</w:t>
            </w:r>
          </w:p>
        </w:tc>
      </w:tr>
      <w:tr>
        <w:tc>
          <w:tcPr>
            <w:tcW w:type="dxa" w:w="4320"/>
          </w:tcPr>
          <w:p>
            <w:pPr>
              <w:spacing w:after="40"/>
            </w:pPr>
            <w:r>
              <w:rPr>
                <w:sz w:val="18"/>
              </w:rPr>
            </w:r>
            <w:r>
              <w:rPr>
                <w:sz w:val="18"/>
              </w:rPr>
              <w:t>Livrare intracomunitară de bunuri</w:t>
            </w:r>
          </w:p>
        </w:tc>
        <w:tc>
          <w:tcPr>
            <w:tcW w:type="dxa" w:w="4320"/>
          </w:tcPr>
          <w:p>
            <w:pPr>
              <w:spacing w:after="40"/>
            </w:pPr>
            <w:r>
              <w:rPr>
                <w:sz w:val="18"/>
              </w:rPr>
            </w:r>
            <w:r>
              <w:rPr>
                <w:sz w:val="18"/>
              </w:rPr>
              <w:t>„Scutit cu drept de deducere, art. 294 alin. (2) lit. a) Cod fiscal"</w:t>
            </w:r>
          </w:p>
        </w:tc>
      </w:tr>
      <w:tr>
        <w:tc>
          <w:tcPr>
            <w:tcW w:type="dxa" w:w="4320"/>
          </w:tcPr>
          <w:p>
            <w:pPr>
              <w:spacing w:after="40"/>
            </w:pPr>
            <w:r>
              <w:rPr>
                <w:sz w:val="18"/>
              </w:rPr>
            </w:r>
            <w:r>
              <w:rPr>
                <w:sz w:val="18"/>
              </w:rPr>
              <w:t>Export</w:t>
            </w:r>
          </w:p>
        </w:tc>
        <w:tc>
          <w:tcPr>
            <w:tcW w:type="dxa" w:w="4320"/>
          </w:tcPr>
          <w:p>
            <w:pPr>
              <w:spacing w:after="40"/>
            </w:pPr>
            <w:r>
              <w:rPr>
                <w:sz w:val="18"/>
              </w:rPr>
            </w:r>
            <w:r>
              <w:rPr>
                <w:sz w:val="18"/>
              </w:rPr>
              <w:t>„Scutit cu drept de deducere, art. 294 alin. (1) lit. a) Cod fiscal"</w:t>
            </w:r>
          </w:p>
        </w:tc>
      </w:tr>
      <w:tr>
        <w:tc>
          <w:tcPr>
            <w:tcW w:type="dxa" w:w="4320"/>
          </w:tcPr>
          <w:p>
            <w:pPr>
              <w:spacing w:after="40"/>
            </w:pPr>
            <w:r>
              <w:rPr>
                <w:sz w:val="18"/>
              </w:rPr>
            </w:r>
            <w:r>
              <w:rPr>
                <w:sz w:val="18"/>
              </w:rPr>
              <w:t>Cherestea către plătitor de TVA</w:t>
            </w:r>
          </w:p>
        </w:tc>
        <w:tc>
          <w:tcPr>
            <w:tcW w:type="dxa" w:w="4320"/>
          </w:tcPr>
          <w:p>
            <w:pPr>
              <w:spacing w:after="40"/>
            </w:pPr>
            <w:r>
              <w:rPr>
                <w:sz w:val="18"/>
              </w:rPr>
            </w:r>
            <w:r>
              <w:rPr>
                <w:sz w:val="18"/>
              </w:rPr>
              <w:t>„Taxare inversă, art. 331 alin. (2) lit. b) Cod fiscal"</w:t>
            </w:r>
          </w:p>
        </w:tc>
      </w:tr>
      <w:tr>
        <w:tc>
          <w:tcPr>
            <w:tcW w:type="dxa" w:w="4320"/>
          </w:tcPr>
          <w:p>
            <w:pPr>
              <w:spacing w:after="40"/>
            </w:pPr>
            <w:r>
              <w:rPr>
                <w:sz w:val="18"/>
              </w:rPr>
            </w:r>
            <w:r>
              <w:rPr>
                <w:sz w:val="18"/>
              </w:rPr>
              <w:t>Servicii B2B către firmă UE</w:t>
            </w:r>
          </w:p>
        </w:tc>
        <w:tc>
          <w:tcPr>
            <w:tcW w:type="dxa" w:w="4320"/>
          </w:tcPr>
          <w:p>
            <w:pPr>
              <w:spacing w:after="40"/>
            </w:pPr>
            <w:r>
              <w:rPr>
                <w:sz w:val="18"/>
              </w:rPr>
            </w:r>
            <w:r>
              <w:rPr>
                <w:sz w:val="18"/>
              </w:rPr>
              <w:t>„Taxare inversă, art. 278 alin. (2) Cod fiscal / art. 44 Directiva 2006/112/CE"</w:t>
            </w:r>
          </w:p>
        </w:tc>
      </w:tr>
    </w:tbl>
    <w:p/>
    <w:p>
      <w:pPr>
        <w:jc w:val="both"/>
      </w:pPr>
      <w:r>
        <w:t>➕ Lipsa mențiunii = factură incompletă = risc de refuz al scutirii la inspecție. Este cel mai ieftin risc de eliminat din toată lista asta: se rezolvă cu o setare în softul de facturare.</w:t>
      </w:r>
    </w:p>
    <w:p>
      <w:pPr>
        <w:spacing w:before="40" w:after="160"/>
        <w:pBdr>
          <w:bottom w:val="single" w:sz="6" w:color="DBE3EA"/>
        </w:pBdr>
      </w:pPr>
    </w:p>
    <w:p>
      <w:pPr>
        <w:pStyle w:val="Heading2"/>
      </w:pPr>
      <w:r>
        <w:t>6. Producția: 33x, 34x și conturile 711/712</w:t>
      </w:r>
    </w:p>
    <w:p>
      <w:pPr>
        <w:pStyle w:val="Heading3"/>
      </w:pPr>
      <w:r>
        <w:t>6.1 Principiul — de ce există contul 331</w:t>
      </w:r>
    </w:p>
    <w:p>
      <w:pPr>
        <w:ind w:left="360"/>
      </w:pPr>
      <w:r>
        <w:rPr>
          <w:b/>
          <w:i/>
          <w:color w:val="5D6E7E"/>
        </w:rPr>
        <w:t>Nu poți avea o cheltuială fără să ai un venit corespondent în aceeași perioadă.</w:t>
      </w:r>
    </w:p>
    <w:p>
      <w:pPr>
        <w:jc w:val="both"/>
      </w:pPr>
      <w:r>
        <w:t xml:space="preserve">Este principiul </w:t>
      </w:r>
      <w:r>
        <w:rPr>
          <w:b/>
        </w:rPr>
        <w:t>conectării cheltuielilor la venituri</w:t>
      </w:r>
      <w:r>
        <w:t xml:space="preserve"> (independența exercițiului). Dacă în luna 1 consumi materie primă de 50.000 lei dar nu livrezi niciun produs, ai o cheltuială fără venit → rezultat artificial negativ → bază de impozitare distorsionată.</w:t>
      </w:r>
    </w:p>
    <w:p>
      <w:pPr>
        <w:jc w:val="both"/>
      </w:pPr>
      <w:r>
        <w:t xml:space="preserve">Legiuitorul îți dă soluția: înregistrezi </w:t>
      </w:r>
      <w:r>
        <w:rPr>
          <w:b/>
        </w:rPr>
        <w:t>producția în curs de execuție</w:t>
      </w:r>
      <w:r>
        <w:t xml:space="preserve"> printr-un venit de aceeași mărime.</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Cont producție în curs</w:t>
            </w:r>
          </w:p>
        </w:tc>
        <w:tc>
          <w:tcPr>
            <w:tcW w:type="dxa" w:w="4320"/>
          </w:tcPr>
          <w:p>
            <w:pPr>
              <w:spacing w:after="40"/>
            </w:pPr>
            <w:r>
              <w:rPr>
                <w:b/>
                <w:sz w:val="18"/>
              </w:rPr>
            </w:r>
            <w:r>
              <w:rPr>
                <w:b/>
                <w:sz w:val="18"/>
              </w:rPr>
              <w:t>Cont de venit pereche</w:t>
            </w:r>
          </w:p>
        </w:tc>
      </w:tr>
      <w:tr>
        <w:tc>
          <w:tcPr>
            <w:tcW w:type="dxa" w:w="4320"/>
          </w:tcPr>
          <w:p>
            <w:pPr>
              <w:spacing w:after="40"/>
            </w:pPr>
            <w:r>
              <w:rPr>
                <w:sz w:val="18"/>
              </w:rPr>
            </w:r>
            <w:r>
              <w:rPr>
                <w:b/>
                <w:sz w:val="18"/>
              </w:rPr>
              <w:t>331</w:t>
            </w:r>
            <w:r>
              <w:rPr>
                <w:sz w:val="18"/>
              </w:rPr>
              <w:t xml:space="preserve"> Produse în curs de execuție</w:t>
            </w:r>
          </w:p>
        </w:tc>
        <w:tc>
          <w:tcPr>
            <w:tcW w:type="dxa" w:w="4320"/>
          </w:tcPr>
          <w:p>
            <w:pPr>
              <w:spacing w:after="40"/>
            </w:pPr>
            <w:r>
              <w:rPr>
                <w:sz w:val="18"/>
              </w:rPr>
            </w:r>
            <w:r>
              <w:rPr>
                <w:b/>
                <w:sz w:val="18"/>
              </w:rPr>
              <w:t>711</w:t>
            </w:r>
            <w:r>
              <w:rPr>
                <w:sz w:val="18"/>
              </w:rPr>
              <w:t xml:space="preserve"> Venituri aferente costurilor stocurilor de produse</w:t>
            </w:r>
          </w:p>
        </w:tc>
      </w:tr>
      <w:tr>
        <w:tc>
          <w:tcPr>
            <w:tcW w:type="dxa" w:w="4320"/>
          </w:tcPr>
          <w:p>
            <w:pPr>
              <w:spacing w:after="40"/>
            </w:pPr>
            <w:r>
              <w:rPr>
                <w:sz w:val="18"/>
              </w:rPr>
            </w:r>
            <w:r>
              <w:rPr>
                <w:b/>
                <w:sz w:val="18"/>
              </w:rPr>
              <w:t>332</w:t>
            </w:r>
            <w:r>
              <w:rPr>
                <w:sz w:val="18"/>
              </w:rPr>
              <w:t xml:space="preserve"> Servicii în curs de execuție</w:t>
            </w:r>
          </w:p>
        </w:tc>
        <w:tc>
          <w:tcPr>
            <w:tcW w:type="dxa" w:w="4320"/>
          </w:tcPr>
          <w:p>
            <w:pPr>
              <w:spacing w:after="40"/>
            </w:pPr>
            <w:r>
              <w:rPr>
                <w:sz w:val="18"/>
              </w:rPr>
            </w:r>
            <w:r>
              <w:rPr>
                <w:b/>
                <w:sz w:val="18"/>
              </w:rPr>
              <w:t>712</w:t>
            </w:r>
            <w:r>
              <w:rPr>
                <w:sz w:val="18"/>
              </w:rPr>
              <w:t xml:space="preserve"> Venituri aferente costurilor serviciilor în curs de execuție</w:t>
            </w:r>
          </w:p>
        </w:tc>
      </w:tr>
    </w:tbl>
    <w:p/>
    <w:p>
      <w:pPr>
        <w:jc w:val="both"/>
      </w:pPr>
      <w:r>
        <w:t xml:space="preserve">⚠️ </w:t>
      </w:r>
      <w:r>
        <w:rPr>
          <w:b/>
        </w:rPr>
        <w:t>Corecție:</w:t>
      </w:r>
      <w:r>
        <w:t xml:space="preserve"> notițele scriau „331/332 cu 711/722". </w:t>
      </w:r>
      <w:r>
        <w:rPr>
          <w:b/>
        </w:rPr>
        <w:t>722</w:t>
      </w:r>
      <w:r>
        <w:t xml:space="preserve"> este „Venituri din producția de imobilizări corporale" — cu totul altceva (vezi 6.5). Perechea lui 332 este </w:t>
      </w:r>
      <w:r>
        <w:rPr>
          <w:b/>
        </w:rPr>
        <w:t>712</w:t>
      </w:r>
      <w:r>
        <w:t>.</w:t>
      </w:r>
    </w:p>
    <w:p>
      <w:pPr>
        <w:pStyle w:val="Heading3"/>
      </w:pPr>
      <w:r>
        <w:t>6.2 Contul 711 — cum funcționează efectiv</w:t>
      </w:r>
    </w:p>
    <w:p>
      <w:pPr>
        <w:jc w:val="both"/>
      </w:pPr>
      <w:r>
        <w:t xml:space="preserve">711 nu este un venit „real" din vânzare. Este contul de </w:t>
      </w:r>
      <w:r>
        <w:rPr>
          <w:b/>
        </w:rPr>
        <w:t>variație a stocurilor de produse</w:t>
      </w:r>
      <w:r>
        <w:t>. E bifuncțional: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p>
        </w:tc>
        <w:tc>
          <w:tcPr>
            <w:tcW w:type="dxa" w:w="2880"/>
          </w:tcPr>
          <w:p>
            <w:pPr>
              <w:spacing w:after="40"/>
            </w:pPr>
            <w:r>
              <w:rPr>
                <w:b/>
                <w:sz w:val="18"/>
              </w:rPr>
            </w:r>
            <w:r>
              <w:rPr>
                <w:b/>
                <w:sz w:val="18"/>
              </w:rPr>
              <w:t>Când</w:t>
            </w:r>
          </w:p>
        </w:tc>
        <w:tc>
          <w:tcPr>
            <w:tcW w:type="dxa" w:w="2880"/>
          </w:tcPr>
          <w:p>
            <w:pPr>
              <w:spacing w:after="40"/>
            </w:pPr>
            <w:r>
              <w:rPr>
                <w:b/>
                <w:sz w:val="18"/>
              </w:rPr>
            </w:r>
            <w:r>
              <w:rPr>
                <w:b/>
                <w:sz w:val="18"/>
              </w:rPr>
              <w:t>Sens</w:t>
            </w:r>
          </w:p>
        </w:tc>
      </w:tr>
      <w:tr>
        <w:tc>
          <w:tcPr>
            <w:tcW w:type="dxa" w:w="2880"/>
          </w:tcPr>
          <w:p>
            <w:pPr>
              <w:spacing w:after="40"/>
            </w:pPr>
            <w:r>
              <w:rPr>
                <w:sz w:val="18"/>
              </w:rPr>
            </w:r>
            <w:r>
              <w:rPr>
                <w:b/>
                <w:sz w:val="18"/>
              </w:rPr>
              <w:t>Credit 711</w:t>
            </w:r>
          </w:p>
        </w:tc>
        <w:tc>
          <w:tcPr>
            <w:tcW w:type="dxa" w:w="2880"/>
          </w:tcPr>
          <w:p>
            <w:pPr>
              <w:spacing w:after="40"/>
            </w:pPr>
            <w:r>
              <w:rPr>
                <w:sz w:val="18"/>
              </w:rPr>
            </w:r>
            <w:r>
              <w:rPr>
                <w:sz w:val="18"/>
              </w:rPr>
              <w:t>obții produse (în curs, semifabricate, finite, reziduale)</w:t>
            </w:r>
          </w:p>
        </w:tc>
        <w:tc>
          <w:tcPr>
            <w:tcW w:type="dxa" w:w="2880"/>
          </w:tcPr>
          <w:p>
            <w:pPr>
              <w:spacing w:after="40"/>
            </w:pPr>
            <w:r>
              <w:rPr>
                <w:sz w:val="18"/>
              </w:rPr>
            </w:r>
            <w:r>
              <w:rPr>
                <w:sz w:val="18"/>
              </w:rPr>
              <w:t>crește stocul → „venit"</w:t>
            </w:r>
          </w:p>
        </w:tc>
      </w:tr>
      <w:tr>
        <w:tc>
          <w:tcPr>
            <w:tcW w:type="dxa" w:w="2880"/>
          </w:tcPr>
          <w:p>
            <w:pPr>
              <w:spacing w:after="40"/>
            </w:pPr>
            <w:r>
              <w:rPr>
                <w:sz w:val="18"/>
              </w:rPr>
            </w:r>
            <w:r>
              <w:rPr>
                <w:b/>
                <w:sz w:val="18"/>
              </w:rPr>
              <w:t>Debit 711</w:t>
            </w:r>
          </w:p>
        </w:tc>
        <w:tc>
          <w:tcPr>
            <w:tcW w:type="dxa" w:w="2880"/>
          </w:tcPr>
          <w:p>
            <w:pPr>
              <w:spacing w:after="40"/>
            </w:pPr>
            <w:r>
              <w:rPr>
                <w:sz w:val="18"/>
              </w:rPr>
            </w:r>
            <w:r>
              <w:rPr>
                <w:sz w:val="18"/>
              </w:rPr>
              <w:t>scoți produse din stoc (vânzare, reluare producție în curs)</w:t>
            </w:r>
          </w:p>
        </w:tc>
        <w:tc>
          <w:tcPr>
            <w:tcW w:type="dxa" w:w="2880"/>
          </w:tcPr>
          <w:p>
            <w:pPr>
              <w:spacing w:after="40"/>
            </w:pPr>
            <w:r>
              <w:rPr>
                <w:sz w:val="18"/>
              </w:rPr>
            </w:r>
            <w:r>
              <w:rPr>
                <w:sz w:val="18"/>
              </w:rPr>
              <w:t>scade stocul → „cheltuială"</w:t>
            </w:r>
          </w:p>
        </w:tc>
      </w:tr>
    </w:tbl>
    <w:p/>
    <w:p>
      <w:pPr>
        <w:jc w:val="both"/>
      </w:pPr>
      <w:r>
        <w:t>✅ Formularea din notițe este corectă și merită păstrată ca atare:</w:t>
      </w:r>
    </w:p>
    <w:p>
      <w:pPr>
        <w:ind w:left="360"/>
      </w:pPr>
      <w:r>
        <w:rPr>
          <w:i/>
          <w:color w:val="5D6E7E"/>
        </w:rPr>
        <w:t>„Când am un produs în societate, îl înregistrez pe 711, indiferent în ce etapă e."</w:t>
      </w:r>
    </w:p>
    <w:p>
      <w:pPr>
        <w:pStyle w:val="Heading3"/>
      </w:pPr>
      <w:r>
        <w:t>6.3 Exemplu complet — geam termopan</w:t>
      </w:r>
    </w:p>
    <w:p>
      <w:pPr>
        <w:jc w:val="both"/>
      </w:pPr>
      <w:r>
        <w:t>Notițele porneau exemplul dar îl lăsau neterminat (și cu o eroare de sens). Îl reconstruiesc integral, cu cifre.</w:t>
      </w:r>
    </w:p>
    <w:p>
      <w:pPr>
        <w:jc w:val="both"/>
      </w:pPr>
      <w:r>
        <w:t xml:space="preserve">⚠️ </w:t>
      </w:r>
      <w:r>
        <w:rPr>
          <w:b/>
        </w:rPr>
        <w:t>Eroarea:</w:t>
      </w:r>
      <w:r>
        <w:t xml:space="preserve"> notița scria </w:t>
      </w:r>
      <w:r>
        <w:rPr>
          <w:rFonts w:ascii="Consolas" w:hAnsi="Consolas"/>
          <w:color w:val="1F4E79"/>
          <w:sz w:val="19"/>
        </w:rPr>
        <w:t>301 - 601 50k</w:t>
      </w:r>
      <w:r>
        <w:t xml:space="preserve"> pentru achiziția sticlei. Sensul e inversat și contul e greșit — achiziția nu se face niciodată din contul de cheltuială.</w:t>
      </w:r>
    </w:p>
    <w:p>
      <w:pPr>
        <w:jc w:val="both"/>
      </w:pPr>
      <w:r>
        <w:rPr>
          <w:b/>
        </w:rPr>
        <w:t>LUNA 1</w:t>
      </w:r>
    </w:p>
    <w:p>
      <w:pPr>
        <w:jc w:val="both"/>
      </w:pPr>
      <w:r>
        <w:rPr>
          <w:i/>
        </w:rPr>
        <w:t>(1) Achiziția sticlei — 50.000 lei + TVA 21%</w:t>
      </w:r>
    </w:p>
    <w:p>
      <w:pPr>
        <w:ind w:left="280"/>
      </w:pPr>
      <w:r>
        <w:rPr>
          <w:rFonts w:ascii="Consolas" w:hAnsi="Consolas"/>
          <w:sz w:val="18"/>
        </w:rPr>
        <w:t>%           =  401            60.500</w:t>
        <w:br/>
        <w:t xml:space="preserve">  301                         50.000</w:t>
        <w:br/>
        <w:t xml:space="preserve">  4426                        10.500</w:t>
      </w:r>
    </w:p>
    <w:p>
      <w:pPr>
        <w:jc w:val="both"/>
      </w:pPr>
      <w:r>
        <w:rPr>
          <w:i/>
        </w:rPr>
        <w:t>(2) Consumul — bon de consum, am tăiat sticla</w:t>
      </w:r>
    </w:p>
    <w:p>
      <w:pPr>
        <w:ind w:left="280"/>
      </w:pPr>
      <w:r>
        <w:rPr>
          <w:rFonts w:ascii="Consolas" w:hAnsi="Consolas"/>
          <w:sz w:val="18"/>
        </w:rPr>
        <w:t>601         =  301            50.000</w:t>
      </w:r>
    </w:p>
    <w:p>
      <w:pPr>
        <w:jc w:val="both"/>
      </w:pPr>
      <w:r>
        <w:rPr>
          <w:i/>
        </w:rPr>
        <w:t>(3) La 31 ale lunii, produsul nu e finalizat — nu pot livra</w:t>
      </w:r>
    </w:p>
    <w:p>
      <w:pPr>
        <w:ind w:left="280"/>
      </w:pPr>
      <w:r>
        <w:rPr>
          <w:rFonts w:ascii="Consolas" w:hAnsi="Consolas"/>
          <w:sz w:val="18"/>
        </w:rPr>
        <w:t>331         =  711            50.000</w:t>
      </w:r>
    </w:p>
    <w:p>
      <w:pPr>
        <w:jc w:val="both"/>
      </w:pPr>
      <w:r>
        <w:t xml:space="preserve">➕ </w:t>
      </w:r>
      <w:r>
        <w:rPr>
          <w:b/>
        </w:rPr>
        <w:t>Atenție la evaluare:</w:t>
      </w:r>
      <w:r>
        <w:t xml:space="preserve"> 331 se înregistrează la </w:t>
      </w:r>
      <w:r>
        <w:rPr>
          <w:b/>
        </w:rPr>
        <w:t>cost de producție</w:t>
      </w:r>
      <w:r>
        <w:t>, nu doar la valoarea materialelor. Costul include: materii prime consumate + manoperă directă (641, 6451) + amortizarea utilajelor de producție (6811) + cota de regie de producție. Dacă înregistrezi doar materialul, subevaluezi stocul și tot rămâi cu cheltuieli neacoperite.</w:t>
      </w:r>
    </w:p>
    <w:p>
      <w:pPr>
        <w:jc w:val="both"/>
      </w:pPr>
      <w:r>
        <w:rPr>
          <w:b/>
        </w:rPr>
        <w:t>Rezultatul lunii 1:</w:t>
      </w:r>
      <w:r>
        <w:t xml:space="preserve"> cheltuieli 50.000 (601) − venituri 50.000 (711) = </w:t>
      </w:r>
      <w:r>
        <w:rPr>
          <w:b/>
        </w:rPr>
        <w:t>0</w:t>
      </w:r>
      <w:r>
        <w:t>.</w:t>
      </w:r>
    </w:p>
    <w:p>
      <w:pPr>
        <w:jc w:val="both"/>
      </w:pPr>
      <w:r>
        <w:t xml:space="preserve">✅ Exact asta observa notița: </w:t>
      </w:r>
      <w:r>
        <w:rPr>
          <w:i/>
        </w:rPr>
        <w:t>„când am avut și cheltuială și venit, nu am afectat contul de impozit pe profit"</w:t>
      </w:r>
      <w:r>
        <w:t>.</w:t>
      </w:r>
    </w:p>
    <w:p>
      <w:pPr>
        <w:jc w:val="both"/>
      </w:pPr>
      <w:r>
        <w:t xml:space="preserve">➕ </w:t>
      </w:r>
      <w:r>
        <w:rPr>
          <w:b/>
        </w:rPr>
        <w:t>Evidența pe comenzi:</w:t>
      </w:r>
      <w:r>
        <w:t xml:space="preserve"> trebuie să știi </w:t>
      </w:r>
      <w:r>
        <w:rPr>
          <w:b/>
        </w:rPr>
        <w:t>pentru ce comandă</w:t>
      </w:r>
      <w:r>
        <w:t xml:space="preserve"> ai făcut producția. OMFP 1802/2014 permite mai multe metode de calculație a costurilor; </w:t>
      </w:r>
      <w:r>
        <w:rPr>
          <w:b/>
        </w:rPr>
        <w:t>metoda pe comenzi</w:t>
      </w:r>
      <w:r>
        <w:t xml:space="preserve"> este cea mai utilizată în producția la comandă (exact cazul termopanelor, unde fiecare geam are dimensiuni proprii). Gestiunea lui 331 se ține analitic, pe comandă.</w:t>
      </w:r>
    </w:p>
    <w:p>
      <w:pPr>
        <w:jc w:val="both"/>
      </w:pPr>
      <w:r>
        <w:rPr>
          <w:b/>
        </w:rPr>
        <w:t>LUNA 2</w:t>
      </w:r>
    </w:p>
    <w:p>
      <w:pPr>
        <w:jc w:val="both"/>
      </w:pPr>
      <w:r>
        <w:rPr>
          <w:i/>
        </w:rPr>
        <w:t>(4) Anulez producția în curs (reiau soldul)</w:t>
      </w:r>
    </w:p>
    <w:p>
      <w:pPr>
        <w:ind w:left="280"/>
      </w:pPr>
      <w:r>
        <w:rPr>
          <w:rFonts w:ascii="Consolas" w:hAnsi="Consolas"/>
          <w:sz w:val="18"/>
        </w:rPr>
        <w:t>711         =  331            50.000</w:t>
      </w:r>
    </w:p>
    <w:p>
      <w:pPr>
        <w:jc w:val="both"/>
      </w:pPr>
      <w:r>
        <w:rPr>
          <w:i/>
        </w:rPr>
        <w:t>(5) Obțin produsul finit — cost complet 62.000 (50.000 materiale + 12.000 manoperă și regie)</w:t>
      </w:r>
    </w:p>
    <w:p>
      <w:pPr>
        <w:ind w:left="280"/>
      </w:pPr>
      <w:r>
        <w:rPr>
          <w:rFonts w:ascii="Consolas" w:hAnsi="Consolas"/>
          <w:sz w:val="18"/>
        </w:rPr>
        <w:t>345         =  711            62.000</w:t>
      </w:r>
    </w:p>
    <w:p>
      <w:pPr>
        <w:jc w:val="both"/>
      </w:pPr>
      <w:r>
        <w:rPr>
          <w:i/>
        </w:rPr>
        <w:t>(6) Vânzarea — preț 80.000 lei + TVA 21%</w:t>
      </w:r>
    </w:p>
    <w:p>
      <w:pPr>
        <w:jc w:val="both"/>
      </w:pPr>
      <w:r>
        <w:t xml:space="preserve">⚠️ Notița se oprea la </w:t>
      </w:r>
      <w:r>
        <w:rPr>
          <w:rFonts w:ascii="Consolas" w:hAnsi="Consolas"/>
          <w:color w:val="1F4E79"/>
          <w:sz w:val="19"/>
        </w:rPr>
        <w:t>4111 - ?</w:t>
      </w:r>
      <w:r>
        <w:t xml:space="preserve">. Răspunsul complet sunt </w:t>
      </w:r>
      <w:r>
        <w:rPr>
          <w:b/>
        </w:rPr>
        <w:t>două</w:t>
      </w:r>
      <w:r>
        <w:t xml:space="preserve"> înregistrări, nu una:</w:t>
      </w:r>
    </w:p>
    <w:p>
      <w:pPr>
        <w:ind w:left="280"/>
      </w:pPr>
      <w:r>
        <w:rPr>
          <w:rFonts w:ascii="Consolas" w:hAnsi="Consolas"/>
          <w:sz w:val="18"/>
        </w:rPr>
        <w:t>4111        =  %              96.800</w:t>
        <w:br/>
        <w:t xml:space="preserve">  7015                        80.000       (venitul din vânzare)</w:t>
        <w:br/>
        <w:t xml:space="preserve">  4427                        16.800       (TVA colectată)</w:t>
      </w:r>
    </w:p>
    <w:p>
      <w:pPr>
        <w:jc w:val="both"/>
      </w:pPr>
      <w:r>
        <w:rPr>
          <w:i/>
        </w:rPr>
        <w:t>(7) și descărcarea de gestiune — fără ea, stocul rămâne umflat</w:t>
      </w:r>
    </w:p>
    <w:p>
      <w:pPr>
        <w:ind w:left="280"/>
      </w:pPr>
      <w:r>
        <w:rPr>
          <w:rFonts w:ascii="Consolas" w:hAnsi="Consolas"/>
          <w:sz w:val="18"/>
        </w:rPr>
        <w:t>711         =  345            62.000</w:t>
      </w:r>
    </w:p>
    <w:p>
      <w:pPr>
        <w:jc w:val="both"/>
      </w:pPr>
      <w:r>
        <w:rPr>
          <w:b/>
        </w:rPr>
        <w:t>Verificare pe ansamblul celor două luni:</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p>
        </w:tc>
        <w:tc>
          <w:tcPr>
            <w:tcW w:type="dxa" w:w="4320"/>
          </w:tcPr>
          <w:p>
            <w:pPr>
              <w:spacing w:after="40"/>
            </w:pPr>
            <w:r>
              <w:rPr>
                <w:b/>
                <w:sz w:val="18"/>
              </w:rPr>
            </w:r>
          </w:p>
        </w:tc>
      </w:tr>
      <w:tr>
        <w:tc>
          <w:tcPr>
            <w:tcW w:type="dxa" w:w="4320"/>
          </w:tcPr>
          <w:p>
            <w:pPr>
              <w:spacing w:after="40"/>
            </w:pPr>
            <w:r>
              <w:rPr>
                <w:sz w:val="18"/>
              </w:rPr>
            </w:r>
            <w:r>
              <w:rPr>
                <w:sz w:val="18"/>
              </w:rPr>
              <w:t>Rulaj creditor 711</w:t>
            </w:r>
          </w:p>
        </w:tc>
        <w:tc>
          <w:tcPr>
            <w:tcW w:type="dxa" w:w="4320"/>
          </w:tcPr>
          <w:p>
            <w:pPr>
              <w:spacing w:after="40"/>
            </w:pPr>
            <w:r>
              <w:rPr>
                <w:sz w:val="18"/>
              </w:rPr>
            </w:r>
            <w:r>
              <w:rPr>
                <w:sz w:val="18"/>
              </w:rPr>
              <w:t>50.000 + 62.000 = 112.000</w:t>
            </w:r>
          </w:p>
        </w:tc>
      </w:tr>
      <w:tr>
        <w:tc>
          <w:tcPr>
            <w:tcW w:type="dxa" w:w="4320"/>
          </w:tcPr>
          <w:p>
            <w:pPr>
              <w:spacing w:after="40"/>
            </w:pPr>
            <w:r>
              <w:rPr>
                <w:sz w:val="18"/>
              </w:rPr>
            </w:r>
            <w:r>
              <w:rPr>
                <w:sz w:val="18"/>
              </w:rPr>
              <w:t>Rulaj debitor 711</w:t>
            </w:r>
          </w:p>
        </w:tc>
        <w:tc>
          <w:tcPr>
            <w:tcW w:type="dxa" w:w="4320"/>
          </w:tcPr>
          <w:p>
            <w:pPr>
              <w:spacing w:after="40"/>
            </w:pPr>
            <w:r>
              <w:rPr>
                <w:sz w:val="18"/>
              </w:rPr>
            </w:r>
            <w:r>
              <w:rPr>
                <w:sz w:val="18"/>
              </w:rPr>
              <w:t>50.000 + 62.000 = 112.000</w:t>
            </w:r>
          </w:p>
        </w:tc>
      </w:tr>
      <w:tr>
        <w:tc>
          <w:tcPr>
            <w:tcW w:type="dxa" w:w="4320"/>
          </w:tcPr>
          <w:p>
            <w:pPr>
              <w:spacing w:after="40"/>
            </w:pPr>
            <w:r>
              <w:rPr>
                <w:sz w:val="18"/>
              </w:rPr>
            </w:r>
            <w:r>
              <w:rPr>
                <w:b/>
                <w:sz w:val="18"/>
              </w:rPr>
              <w:t>Sold 711</w:t>
            </w:r>
          </w:p>
        </w:tc>
        <w:tc>
          <w:tcPr>
            <w:tcW w:type="dxa" w:w="4320"/>
          </w:tcPr>
          <w:p>
            <w:pPr>
              <w:spacing w:after="40"/>
            </w:pPr>
            <w:r>
              <w:rPr>
                <w:sz w:val="18"/>
              </w:rPr>
            </w:r>
            <w:r>
              <w:rPr>
                <w:b/>
                <w:sz w:val="18"/>
              </w:rPr>
              <w:t>0</w:t>
            </w:r>
            <w:r>
              <w:rPr>
                <w:sz w:val="18"/>
              </w:rPr>
              <w:t xml:space="preserve"> ✅</w:t>
            </w:r>
          </w:p>
        </w:tc>
      </w:tr>
      <w:tr>
        <w:tc>
          <w:tcPr>
            <w:tcW w:type="dxa" w:w="4320"/>
          </w:tcPr>
          <w:p>
            <w:pPr>
              <w:spacing w:after="40"/>
            </w:pPr>
            <w:r>
              <w:rPr>
                <w:sz w:val="18"/>
              </w:rPr>
            </w:r>
            <w:r>
              <w:rPr>
                <w:sz w:val="18"/>
              </w:rPr>
              <w:t>Cheltuieli totale</w:t>
            </w:r>
          </w:p>
        </w:tc>
        <w:tc>
          <w:tcPr>
            <w:tcW w:type="dxa" w:w="4320"/>
          </w:tcPr>
          <w:p>
            <w:pPr>
              <w:spacing w:after="40"/>
            </w:pPr>
            <w:r>
              <w:rPr>
                <w:sz w:val="18"/>
              </w:rPr>
            </w:r>
            <w:r>
              <w:rPr>
                <w:sz w:val="18"/>
              </w:rPr>
              <w:t>50.000 (601) + 12.000 (641/6451/6811) = 62.000</w:t>
            </w:r>
          </w:p>
        </w:tc>
      </w:tr>
      <w:tr>
        <w:tc>
          <w:tcPr>
            <w:tcW w:type="dxa" w:w="4320"/>
          </w:tcPr>
          <w:p>
            <w:pPr>
              <w:spacing w:after="40"/>
            </w:pPr>
            <w:r>
              <w:rPr>
                <w:sz w:val="18"/>
              </w:rPr>
            </w:r>
            <w:r>
              <w:rPr>
                <w:sz w:val="18"/>
              </w:rPr>
              <w:t>Venituri din vânzare</w:t>
            </w:r>
          </w:p>
        </w:tc>
        <w:tc>
          <w:tcPr>
            <w:tcW w:type="dxa" w:w="4320"/>
          </w:tcPr>
          <w:p>
            <w:pPr>
              <w:spacing w:after="40"/>
            </w:pPr>
            <w:r>
              <w:rPr>
                <w:sz w:val="18"/>
              </w:rPr>
            </w:r>
            <w:r>
              <w:rPr>
                <w:sz w:val="18"/>
              </w:rPr>
              <w:t>80.000 (7015)</w:t>
            </w:r>
          </w:p>
        </w:tc>
      </w:tr>
      <w:tr>
        <w:tc>
          <w:tcPr>
            <w:tcW w:type="dxa" w:w="4320"/>
          </w:tcPr>
          <w:p>
            <w:pPr>
              <w:spacing w:after="40"/>
            </w:pPr>
            <w:r>
              <w:rPr>
                <w:sz w:val="18"/>
              </w:rPr>
            </w:r>
            <w:r>
              <w:rPr>
                <w:b/>
                <w:sz w:val="18"/>
              </w:rPr>
              <w:t>Rezultat</w:t>
            </w:r>
          </w:p>
        </w:tc>
        <w:tc>
          <w:tcPr>
            <w:tcW w:type="dxa" w:w="4320"/>
          </w:tcPr>
          <w:p>
            <w:pPr>
              <w:spacing w:after="40"/>
            </w:pPr>
            <w:r>
              <w:rPr>
                <w:sz w:val="18"/>
              </w:rPr>
            </w:r>
            <w:r>
              <w:rPr>
                <w:b/>
                <w:sz w:val="18"/>
              </w:rPr>
              <w:t>18.000</w:t>
            </w:r>
          </w:p>
        </w:tc>
      </w:tr>
    </w:tbl>
    <w:p/>
    <w:p>
      <w:pPr>
        <w:jc w:val="both"/>
      </w:pPr>
      <w:r>
        <w:t>Marja apare integral în luna în care s-a produs vânzarea. Asta e tot rostul mecanismului.</w:t>
      </w:r>
    </w:p>
    <w:p>
      <w:pPr>
        <w:pStyle w:val="Heading3"/>
      </w:pPr>
      <w:r>
        <w:t>6.4 Produse reziduale — contul 346</w:t>
      </w:r>
    </w:p>
    <w:p>
      <w:pPr>
        <w:jc w:val="both"/>
      </w:pPr>
      <w:r>
        <w:t xml:space="preserve">✅ </w:t>
      </w:r>
      <w:r>
        <w:rPr>
          <w:b/>
        </w:rPr>
        <w:t>346 „Produse reziduale"</w:t>
      </w:r>
      <w:r>
        <w:t xml:space="preserve"> — deșeurile rezultate din procesul de producție (în cazul termopanelor: cioburi, profil tăiat, rumeguș la mobilă).</w:t>
      </w:r>
    </w:p>
    <w:p>
      <w:pPr>
        <w:jc w:val="both"/>
      </w:pPr>
      <w:r>
        <w:rPr>
          <w:i/>
        </w:rPr>
        <w:t>(1) Obținerea deșeului, la valoarea negociată în contractul cu colectorul:</w:t>
      </w:r>
    </w:p>
    <w:p>
      <w:pPr>
        <w:ind w:left="280"/>
      </w:pPr>
      <w:r>
        <w:rPr>
          <w:rFonts w:ascii="Consolas" w:hAnsi="Consolas"/>
          <w:sz w:val="18"/>
        </w:rPr>
        <w:t>346         =  711             3.000</w:t>
      </w:r>
    </w:p>
    <w:p>
      <w:pPr>
        <w:jc w:val="both"/>
      </w:pPr>
      <w:r>
        <w:t xml:space="preserve">➕ </w:t>
      </w:r>
      <w:r>
        <w:rPr>
          <w:i/>
        </w:rPr>
        <w:t>(2) Facturarea către colectorul de deșeuri:</w:t>
      </w:r>
    </w:p>
    <w:p>
      <w:pPr>
        <w:ind w:left="280"/>
      </w:pPr>
      <w:r>
        <w:rPr>
          <w:rFonts w:ascii="Consolas" w:hAnsi="Consolas"/>
          <w:sz w:val="18"/>
        </w:rPr>
        <w:t>4111        =  %</w:t>
        <w:br/>
        <w:t xml:space="preserve">  703                          3.000       Venituri din vânzarea produselor reziduale</w:t>
        <w:br/>
        <w:t xml:space="preserve">  4427                                     ⚠️ vezi mai jos</w:t>
      </w:r>
    </w:p>
    <w:p>
      <w:pPr>
        <w:jc w:val="both"/>
      </w:pPr>
      <w:r>
        <w:rPr>
          <w:i/>
        </w:rPr>
        <w:t>(3) Descărcarea de gestiune:</w:t>
      </w:r>
    </w:p>
    <w:p>
      <w:pPr>
        <w:ind w:left="280"/>
      </w:pPr>
      <w:r>
        <w:rPr>
          <w:rFonts w:ascii="Consolas" w:hAnsi="Consolas"/>
          <w:sz w:val="18"/>
        </w:rPr>
        <w:t>711         =  346             3.000</w:t>
      </w:r>
    </w:p>
    <w:p>
      <w:pPr>
        <w:jc w:val="both"/>
      </w:pPr>
      <w:r>
        <w:t xml:space="preserve">⚠️ </w:t>
      </w:r>
      <w:r>
        <w:rPr>
          <w:b/>
        </w:rPr>
        <w:t>Capcană pe care notițele o ratau, deși aveau ambele piese pe masă:</w:t>
      </w:r>
      <w:r>
        <w:t xml:space="preserve"> livrarea de deșeuri feroase/neferoase și de reziduuri reciclabile este pe </w:t>
      </w:r>
      <w:r>
        <w:rPr>
          <w:b/>
        </w:rPr>
        <w:t>lista de taxare inversă</w:t>
      </w:r>
      <w:r>
        <w:t xml:space="preserve"> (art. 331). Dacă și tu și colectorul sunteți plătitori de TVA, factura se emite </w:t>
      </w:r>
      <w:r>
        <w:rPr>
          <w:b/>
        </w:rPr>
        <w:t>fără TVA</w:t>
      </w:r>
      <w:r>
        <w:t>, cu mențiunea „taxare inversă". Deci în înregistrarea (2) nu apare 4427 la tine, ci autolichidarea o face colectorul.</w:t>
      </w:r>
    </w:p>
    <w:p>
      <w:pPr>
        <w:pStyle w:val="Heading3"/>
      </w:pPr>
      <w:r>
        <w:t>6.5 Producția de imobilizări ≠ producția în curs de execuție</w:t>
      </w:r>
    </w:p>
    <w:p>
      <w:pPr>
        <w:jc w:val="both"/>
      </w:pPr>
      <w:r>
        <w:t>⚠️ Notița menționa „</w:t>
      </w:r>
      <w:r>
        <w:rPr>
          <w:i/>
        </w:rPr>
        <w:t>soft făcut cu salariații societății</w:t>
      </w:r>
      <w:r>
        <w:t xml:space="preserve">" în dreptul lui 331/332. Greșit. Softul dezvoltat intern este o </w:t>
      </w:r>
      <w:r>
        <w:rPr>
          <w:b/>
        </w:rPr>
        <w:t>imobilizare necorporală</w:t>
      </w:r>
      <w:r>
        <w:t>, nu un stoc: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r>
            <w:r>
              <w:rPr>
                <w:b/>
                <w:sz w:val="18"/>
              </w:rPr>
              <w:t>Ce produci intern</w:t>
            </w:r>
          </w:p>
        </w:tc>
        <w:tc>
          <w:tcPr>
            <w:tcW w:type="dxa" w:w="2160"/>
          </w:tcPr>
          <w:p>
            <w:pPr>
              <w:spacing w:after="40"/>
            </w:pPr>
            <w:r>
              <w:rPr>
                <w:b/>
                <w:sz w:val="18"/>
              </w:rPr>
            </w:r>
            <w:r>
              <w:rPr>
                <w:b/>
                <w:sz w:val="18"/>
              </w:rPr>
              <w:t>Cont în curs</w:t>
            </w:r>
          </w:p>
        </w:tc>
        <w:tc>
          <w:tcPr>
            <w:tcW w:type="dxa" w:w="2160"/>
          </w:tcPr>
          <w:p>
            <w:pPr>
              <w:spacing w:after="40"/>
            </w:pPr>
            <w:r>
              <w:rPr>
                <w:b/>
                <w:sz w:val="18"/>
              </w:rPr>
            </w:r>
            <w:r>
              <w:rPr>
                <w:b/>
                <w:sz w:val="18"/>
              </w:rPr>
              <w:t>Cont de venit</w:t>
            </w:r>
          </w:p>
        </w:tc>
        <w:tc>
          <w:tcPr>
            <w:tcW w:type="dxa" w:w="2160"/>
          </w:tcPr>
          <w:p>
            <w:pPr>
              <w:spacing w:after="40"/>
            </w:pPr>
            <w:r>
              <w:rPr>
                <w:b/>
                <w:sz w:val="18"/>
              </w:rPr>
            </w:r>
            <w:r>
              <w:rPr>
                <w:b/>
                <w:sz w:val="18"/>
              </w:rPr>
              <w:t>Cont final</w:t>
            </w:r>
          </w:p>
        </w:tc>
      </w:tr>
      <w:tr>
        <w:tc>
          <w:tcPr>
            <w:tcW w:type="dxa" w:w="2160"/>
          </w:tcPr>
          <w:p>
            <w:pPr>
              <w:spacing w:after="40"/>
            </w:pPr>
            <w:r>
              <w:rPr>
                <w:sz w:val="18"/>
              </w:rPr>
            </w:r>
            <w:r>
              <w:rPr>
                <w:b/>
                <w:sz w:val="18"/>
              </w:rPr>
              <w:t>Software, brevete</w:t>
            </w:r>
            <w:r>
              <w:rPr>
                <w:sz w:val="18"/>
              </w:rPr>
              <w:t xml:space="preserve"> (dezvoltate intern)</w:t>
            </w:r>
          </w:p>
        </w:tc>
        <w:tc>
          <w:tcPr>
            <w:tcW w:type="dxa" w:w="2160"/>
          </w:tcPr>
          <w:p>
            <w:pPr>
              <w:spacing w:after="40"/>
            </w:pPr>
            <w:r>
              <w:rPr>
                <w:sz w:val="18"/>
              </w:rPr>
            </w:r>
            <w:r>
              <w:rPr>
                <w:sz w:val="18"/>
              </w:rPr>
              <w:t>233 Imobilizări necorporale în curs</w:t>
            </w:r>
          </w:p>
        </w:tc>
        <w:tc>
          <w:tcPr>
            <w:tcW w:type="dxa" w:w="2160"/>
          </w:tcPr>
          <w:p>
            <w:pPr>
              <w:spacing w:after="40"/>
            </w:pPr>
            <w:r>
              <w:rPr>
                <w:sz w:val="18"/>
              </w:rPr>
            </w:r>
            <w:r>
              <w:rPr>
                <w:b/>
                <w:sz w:val="18"/>
              </w:rPr>
              <w:t>721</w:t>
            </w:r>
            <w:r>
              <w:rPr>
                <w:sz w:val="18"/>
              </w:rPr>
              <w:t xml:space="preserve"> Venituri din producția de imobilizări necorporale</w:t>
            </w:r>
          </w:p>
        </w:tc>
        <w:tc>
          <w:tcPr>
            <w:tcW w:type="dxa" w:w="2160"/>
          </w:tcPr>
          <w:p>
            <w:pPr>
              <w:spacing w:after="40"/>
            </w:pPr>
            <w:r>
              <w:rPr>
                <w:sz w:val="18"/>
              </w:rPr>
            </w:r>
            <w:r>
              <w:rPr>
                <w:sz w:val="18"/>
              </w:rPr>
              <w:t>203 / 208</w:t>
            </w:r>
          </w:p>
        </w:tc>
      </w:tr>
      <w:tr>
        <w:tc>
          <w:tcPr>
            <w:tcW w:type="dxa" w:w="2160"/>
          </w:tcPr>
          <w:p>
            <w:pPr>
              <w:spacing w:after="40"/>
            </w:pPr>
            <w:r>
              <w:rPr>
                <w:sz w:val="18"/>
              </w:rPr>
            </w:r>
            <w:r>
              <w:rPr>
                <w:b/>
                <w:sz w:val="18"/>
              </w:rPr>
              <w:t>Hală, utilaj</w:t>
            </w:r>
            <w:r>
              <w:rPr>
                <w:sz w:val="18"/>
              </w:rPr>
              <w:t xml:space="preserve"> (construit în regie proprie)</w:t>
            </w:r>
          </w:p>
        </w:tc>
        <w:tc>
          <w:tcPr>
            <w:tcW w:type="dxa" w:w="2160"/>
          </w:tcPr>
          <w:p>
            <w:pPr>
              <w:spacing w:after="40"/>
            </w:pPr>
            <w:r>
              <w:rPr>
                <w:sz w:val="18"/>
              </w:rPr>
            </w:r>
            <w:r>
              <w:rPr>
                <w:sz w:val="18"/>
              </w:rPr>
              <w:t>231 Imobilizări corporale în curs</w:t>
            </w:r>
          </w:p>
        </w:tc>
        <w:tc>
          <w:tcPr>
            <w:tcW w:type="dxa" w:w="2160"/>
          </w:tcPr>
          <w:p>
            <w:pPr>
              <w:spacing w:after="40"/>
            </w:pPr>
            <w:r>
              <w:rPr>
                <w:sz w:val="18"/>
              </w:rPr>
            </w:r>
            <w:r>
              <w:rPr>
                <w:b/>
                <w:sz w:val="18"/>
              </w:rPr>
              <w:t>722</w:t>
            </w:r>
            <w:r>
              <w:rPr>
                <w:sz w:val="18"/>
              </w:rPr>
              <w:t xml:space="preserve"> Venituri din producția de imobilizări corporale</w:t>
            </w:r>
          </w:p>
        </w:tc>
        <w:tc>
          <w:tcPr>
            <w:tcW w:type="dxa" w:w="2160"/>
          </w:tcPr>
          <w:p>
            <w:pPr>
              <w:spacing w:after="40"/>
            </w:pPr>
            <w:r>
              <w:rPr>
                <w:sz w:val="18"/>
              </w:rPr>
            </w:r>
            <w:r>
              <w:rPr>
                <w:sz w:val="18"/>
              </w:rPr>
              <w:t>212 / 213</w:t>
            </w:r>
          </w:p>
        </w:tc>
      </w:tr>
      <w:tr>
        <w:tc>
          <w:tcPr>
            <w:tcW w:type="dxa" w:w="2160"/>
          </w:tcPr>
          <w:p>
            <w:pPr>
              <w:spacing w:after="40"/>
            </w:pPr>
            <w:r>
              <w:rPr>
                <w:sz w:val="18"/>
              </w:rPr>
            </w:r>
            <w:r>
              <w:rPr>
                <w:b/>
                <w:sz w:val="18"/>
              </w:rPr>
              <w:t>Produse pentru vânzare</w:t>
            </w:r>
          </w:p>
        </w:tc>
        <w:tc>
          <w:tcPr>
            <w:tcW w:type="dxa" w:w="2160"/>
          </w:tcPr>
          <w:p>
            <w:pPr>
              <w:spacing w:after="40"/>
            </w:pPr>
            <w:r>
              <w:rPr>
                <w:sz w:val="18"/>
              </w:rPr>
            </w:r>
            <w:r>
              <w:rPr>
                <w:sz w:val="18"/>
              </w:rPr>
              <w:t>331 Produse în curs</w:t>
            </w:r>
          </w:p>
        </w:tc>
        <w:tc>
          <w:tcPr>
            <w:tcW w:type="dxa" w:w="2160"/>
          </w:tcPr>
          <w:p>
            <w:pPr>
              <w:spacing w:after="40"/>
            </w:pPr>
            <w:r>
              <w:rPr>
                <w:sz w:val="18"/>
              </w:rPr>
            </w:r>
            <w:r>
              <w:rPr>
                <w:b/>
                <w:sz w:val="18"/>
              </w:rPr>
              <w:t>711</w:t>
            </w:r>
          </w:p>
        </w:tc>
        <w:tc>
          <w:tcPr>
            <w:tcW w:type="dxa" w:w="2160"/>
          </w:tcPr>
          <w:p>
            <w:pPr>
              <w:spacing w:after="40"/>
            </w:pPr>
            <w:r>
              <w:rPr>
                <w:sz w:val="18"/>
              </w:rPr>
            </w:r>
            <w:r>
              <w:rPr>
                <w:sz w:val="18"/>
              </w:rPr>
              <w:t>345</w:t>
            </w:r>
          </w:p>
        </w:tc>
      </w:tr>
      <w:tr>
        <w:tc>
          <w:tcPr>
            <w:tcW w:type="dxa" w:w="2160"/>
          </w:tcPr>
          <w:p>
            <w:pPr>
              <w:spacing w:after="40"/>
            </w:pPr>
            <w:r>
              <w:rPr>
                <w:sz w:val="18"/>
              </w:rPr>
            </w:r>
            <w:r>
              <w:rPr>
                <w:b/>
                <w:sz w:val="18"/>
              </w:rPr>
              <w:t>Servicii nefinalizate</w:t>
            </w:r>
          </w:p>
        </w:tc>
        <w:tc>
          <w:tcPr>
            <w:tcW w:type="dxa" w:w="2160"/>
          </w:tcPr>
          <w:p>
            <w:pPr>
              <w:spacing w:after="40"/>
            </w:pPr>
            <w:r>
              <w:rPr>
                <w:sz w:val="18"/>
              </w:rPr>
            </w:r>
            <w:r>
              <w:rPr>
                <w:sz w:val="18"/>
              </w:rPr>
              <w:t>332 Servicii în curs</w:t>
            </w:r>
          </w:p>
        </w:tc>
        <w:tc>
          <w:tcPr>
            <w:tcW w:type="dxa" w:w="2160"/>
          </w:tcPr>
          <w:p>
            <w:pPr>
              <w:spacing w:after="40"/>
            </w:pPr>
            <w:r>
              <w:rPr>
                <w:sz w:val="18"/>
              </w:rPr>
            </w:r>
            <w:r>
              <w:rPr>
                <w:b/>
                <w:sz w:val="18"/>
              </w:rPr>
              <w:t>712</w:t>
            </w:r>
          </w:p>
        </w:tc>
        <w:tc>
          <w:tcPr>
            <w:tcW w:type="dxa" w:w="2160"/>
          </w:tcPr>
          <w:p>
            <w:pPr>
              <w:spacing w:after="40"/>
            </w:pPr>
            <w:r>
              <w:rPr>
                <w:sz w:val="18"/>
              </w:rPr>
            </w:r>
            <w:r>
              <w:rPr>
                <w:sz w:val="18"/>
              </w:rPr>
              <w:t>—</w:t>
            </w:r>
          </w:p>
        </w:tc>
      </w:tr>
    </w:tbl>
    <w:p/>
    <w:p>
      <w:pPr>
        <w:jc w:val="both"/>
      </w:pPr>
      <w:r>
        <w:t xml:space="preserve">Diferența e de fond: imobilizarea se </w:t>
      </w:r>
      <w:r>
        <w:rPr>
          <w:b/>
        </w:rPr>
        <w:t>amortizează</w:t>
      </w:r>
      <w:r>
        <w:t xml:space="preserve"> pe ani, stocul se </w:t>
      </w:r>
      <w:r>
        <w:rPr>
          <w:b/>
        </w:rPr>
        <w:t>descarcă</w:t>
      </w:r>
      <w:r>
        <w:t xml:space="preserve"> la vânzare. Dacă înregistrezi softul intern pe 331, ai și cont greșit, și tratament fiscal greșit.</w:t>
      </w:r>
    </w:p>
    <w:p>
      <w:pPr>
        <w:spacing w:before="40" w:after="160"/>
        <w:pBdr>
          <w:bottom w:val="single" w:sz="6" w:color="DBE3EA"/>
        </w:pBdr>
      </w:pPr>
    </w:p>
    <w:p>
      <w:pPr>
        <w:pStyle w:val="Heading2"/>
      </w:pPr>
      <w:r>
        <w:t>7. Conturile de TVA</w:t>
      </w:r>
    </w:p>
    <w:p>
      <w:pPr>
        <w:pStyle w:val="Heading3"/>
      </w:pPr>
      <w:r>
        <w:t>7.1 Nomenclator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Cont</w:t>
            </w:r>
          </w:p>
        </w:tc>
        <w:tc>
          <w:tcPr>
            <w:tcW w:type="dxa" w:w="2880"/>
          </w:tcPr>
          <w:p>
            <w:pPr>
              <w:spacing w:after="40"/>
            </w:pPr>
            <w:r>
              <w:rPr>
                <w:b/>
                <w:sz w:val="18"/>
              </w:rPr>
            </w:r>
            <w:r>
              <w:rPr>
                <w:b/>
                <w:sz w:val="18"/>
              </w:rPr>
              <w:t>Denumire oficială</w:t>
            </w:r>
          </w:p>
        </w:tc>
        <w:tc>
          <w:tcPr>
            <w:tcW w:type="dxa" w:w="2880"/>
          </w:tcPr>
          <w:p>
            <w:pPr>
              <w:spacing w:after="40"/>
            </w:pPr>
            <w:r>
              <w:rPr>
                <w:b/>
                <w:sz w:val="18"/>
              </w:rPr>
            </w:r>
            <w:r>
              <w:rPr>
                <w:b/>
                <w:sz w:val="18"/>
              </w:rPr>
              <w:t>Funcție</w:t>
            </w:r>
          </w:p>
        </w:tc>
      </w:tr>
      <w:tr>
        <w:tc>
          <w:tcPr>
            <w:tcW w:type="dxa" w:w="2880"/>
          </w:tcPr>
          <w:p>
            <w:pPr>
              <w:spacing w:after="40"/>
            </w:pPr>
            <w:r>
              <w:rPr>
                <w:sz w:val="18"/>
              </w:rPr>
            </w:r>
            <w:r>
              <w:rPr>
                <w:b/>
                <w:sz w:val="18"/>
              </w:rPr>
              <w:t>4423</w:t>
            </w:r>
          </w:p>
        </w:tc>
        <w:tc>
          <w:tcPr>
            <w:tcW w:type="dxa" w:w="2880"/>
          </w:tcPr>
          <w:p>
            <w:pPr>
              <w:spacing w:after="40"/>
            </w:pPr>
            <w:r>
              <w:rPr>
                <w:sz w:val="18"/>
              </w:rPr>
            </w:r>
            <w:r>
              <w:rPr>
                <w:sz w:val="18"/>
              </w:rPr>
              <w:t>TVA de plată</w:t>
            </w:r>
          </w:p>
        </w:tc>
        <w:tc>
          <w:tcPr>
            <w:tcW w:type="dxa" w:w="2880"/>
          </w:tcPr>
          <w:p>
            <w:pPr>
              <w:spacing w:after="40"/>
            </w:pPr>
            <w:r>
              <w:rPr>
                <w:sz w:val="18"/>
              </w:rPr>
            </w:r>
            <w:r>
              <w:rPr>
                <w:sz w:val="18"/>
              </w:rPr>
              <w:t>pasiv — datorie la buget</w:t>
            </w:r>
          </w:p>
        </w:tc>
      </w:tr>
      <w:tr>
        <w:tc>
          <w:tcPr>
            <w:tcW w:type="dxa" w:w="2880"/>
          </w:tcPr>
          <w:p>
            <w:pPr>
              <w:spacing w:after="40"/>
            </w:pPr>
            <w:r>
              <w:rPr>
                <w:sz w:val="18"/>
              </w:rPr>
            </w:r>
            <w:r>
              <w:rPr>
                <w:b/>
                <w:sz w:val="18"/>
              </w:rPr>
              <w:t>4424</w:t>
            </w:r>
          </w:p>
        </w:tc>
        <w:tc>
          <w:tcPr>
            <w:tcW w:type="dxa" w:w="2880"/>
          </w:tcPr>
          <w:p>
            <w:pPr>
              <w:spacing w:after="40"/>
            </w:pPr>
            <w:r>
              <w:rPr>
                <w:sz w:val="18"/>
              </w:rPr>
            </w:r>
            <w:r>
              <w:rPr>
                <w:b/>
                <w:sz w:val="18"/>
              </w:rPr>
              <w:t>TVA de recuperat</w:t>
            </w:r>
            <w:r>
              <w:rPr>
                <w:sz w:val="18"/>
              </w:rPr>
              <w:t xml:space="preserve"> ⚠️</w:t>
            </w:r>
          </w:p>
        </w:tc>
        <w:tc>
          <w:tcPr>
            <w:tcW w:type="dxa" w:w="2880"/>
          </w:tcPr>
          <w:p>
            <w:pPr>
              <w:spacing w:after="40"/>
            </w:pPr>
            <w:r>
              <w:rPr>
                <w:sz w:val="18"/>
              </w:rPr>
            </w:r>
            <w:r>
              <w:rPr>
                <w:sz w:val="18"/>
              </w:rPr>
              <w:t>activ — creanță asupra bugetului</w:t>
            </w:r>
          </w:p>
        </w:tc>
      </w:tr>
      <w:tr>
        <w:tc>
          <w:tcPr>
            <w:tcW w:type="dxa" w:w="2880"/>
          </w:tcPr>
          <w:p>
            <w:pPr>
              <w:spacing w:after="40"/>
            </w:pPr>
            <w:r>
              <w:rPr>
                <w:sz w:val="18"/>
              </w:rPr>
            </w:r>
            <w:r>
              <w:rPr>
                <w:b/>
                <w:sz w:val="18"/>
              </w:rPr>
              <w:t>4426</w:t>
            </w:r>
          </w:p>
        </w:tc>
        <w:tc>
          <w:tcPr>
            <w:tcW w:type="dxa" w:w="2880"/>
          </w:tcPr>
          <w:p>
            <w:pPr>
              <w:spacing w:after="40"/>
            </w:pPr>
            <w:r>
              <w:rPr>
                <w:sz w:val="18"/>
              </w:rPr>
            </w:r>
            <w:r>
              <w:rPr>
                <w:sz w:val="18"/>
              </w:rPr>
              <w:t>TVA deductibilă</w:t>
            </w:r>
          </w:p>
        </w:tc>
        <w:tc>
          <w:tcPr>
            <w:tcW w:type="dxa" w:w="2880"/>
          </w:tcPr>
          <w:p>
            <w:pPr>
              <w:spacing w:after="40"/>
            </w:pPr>
            <w:r>
              <w:rPr>
                <w:sz w:val="18"/>
              </w:rPr>
            </w:r>
            <w:r>
              <w:rPr>
                <w:sz w:val="18"/>
              </w:rPr>
              <w:t xml:space="preserve">achiziții, contrapartidă 401 → </w:t>
            </w:r>
            <w:r>
              <w:rPr>
                <w:b/>
                <w:sz w:val="18"/>
              </w:rPr>
              <w:t>jurnalul de cumpărări</w:t>
            </w:r>
          </w:p>
        </w:tc>
      </w:tr>
      <w:tr>
        <w:tc>
          <w:tcPr>
            <w:tcW w:type="dxa" w:w="2880"/>
          </w:tcPr>
          <w:p>
            <w:pPr>
              <w:spacing w:after="40"/>
            </w:pPr>
            <w:r>
              <w:rPr>
                <w:sz w:val="18"/>
              </w:rPr>
            </w:r>
            <w:r>
              <w:rPr>
                <w:b/>
                <w:sz w:val="18"/>
              </w:rPr>
              <w:t>4427</w:t>
            </w:r>
          </w:p>
        </w:tc>
        <w:tc>
          <w:tcPr>
            <w:tcW w:type="dxa" w:w="2880"/>
          </w:tcPr>
          <w:p>
            <w:pPr>
              <w:spacing w:after="40"/>
            </w:pPr>
            <w:r>
              <w:rPr>
                <w:sz w:val="18"/>
              </w:rPr>
            </w:r>
            <w:r>
              <w:rPr>
                <w:sz w:val="18"/>
              </w:rPr>
              <w:t>TVA colectată</w:t>
            </w:r>
          </w:p>
        </w:tc>
        <w:tc>
          <w:tcPr>
            <w:tcW w:type="dxa" w:w="2880"/>
          </w:tcPr>
          <w:p>
            <w:pPr>
              <w:spacing w:after="40"/>
            </w:pPr>
            <w:r>
              <w:rPr>
                <w:sz w:val="18"/>
              </w:rPr>
            </w:r>
            <w:r>
              <w:rPr>
                <w:sz w:val="18"/>
              </w:rPr>
              <w:t xml:space="preserve">vânzări, contrapartidă 4111 → </w:t>
            </w:r>
            <w:r>
              <w:rPr>
                <w:b/>
                <w:sz w:val="18"/>
              </w:rPr>
              <w:t>jurnalul de vânzări</w:t>
            </w:r>
          </w:p>
        </w:tc>
      </w:tr>
      <w:tr>
        <w:tc>
          <w:tcPr>
            <w:tcW w:type="dxa" w:w="2880"/>
          </w:tcPr>
          <w:p>
            <w:pPr>
              <w:spacing w:after="40"/>
            </w:pPr>
            <w:r>
              <w:rPr>
                <w:sz w:val="18"/>
              </w:rPr>
            </w:r>
            <w:r>
              <w:rPr>
                <w:b/>
                <w:sz w:val="18"/>
              </w:rPr>
              <w:t>4428</w:t>
            </w:r>
          </w:p>
        </w:tc>
        <w:tc>
          <w:tcPr>
            <w:tcW w:type="dxa" w:w="2880"/>
          </w:tcPr>
          <w:p>
            <w:pPr>
              <w:spacing w:after="40"/>
            </w:pPr>
            <w:r>
              <w:rPr>
                <w:sz w:val="18"/>
              </w:rPr>
            </w:r>
            <w:r>
              <w:rPr>
                <w:sz w:val="18"/>
              </w:rPr>
              <w:t>TVA neexigibilă</w:t>
            </w:r>
          </w:p>
        </w:tc>
        <w:tc>
          <w:tcPr>
            <w:tcW w:type="dxa" w:w="2880"/>
          </w:tcPr>
          <w:p>
            <w:pPr>
              <w:spacing w:after="40"/>
            </w:pPr>
            <w:r>
              <w:rPr>
                <w:sz w:val="18"/>
              </w:rPr>
            </w:r>
            <w:r>
              <w:rPr>
                <w:sz w:val="18"/>
              </w:rPr>
              <w:t>bifuncțional</w:t>
            </w:r>
          </w:p>
        </w:tc>
      </w:tr>
    </w:tbl>
    <w:p/>
    <w:p>
      <w:pPr>
        <w:jc w:val="both"/>
      </w:pPr>
      <w:r>
        <w:t xml:space="preserve">⚠️ Notița scria „4424 — de rambursat". Denumirea oficială din planul de conturi este </w:t>
      </w:r>
      <w:r>
        <w:rPr>
          <w:b/>
        </w:rPr>
        <w:t>„TVA de recuperat"</w:t>
      </w:r>
      <w:r>
        <w:t xml:space="preserve">. Nuanța contează: soldul lui 4424 poate fi </w:t>
      </w:r>
      <w:r>
        <w:rPr>
          <w:i/>
        </w:rPr>
        <w:t>recuperat</w:t>
      </w:r>
      <w:r>
        <w:t xml:space="preserve"> (reportat, compensat) sau </w:t>
      </w:r>
      <w:r>
        <w:rPr>
          <w:i/>
        </w:rPr>
        <w:t>rambursat efectiv</w:t>
      </w:r>
      <w:r>
        <w:t xml:space="preserve"> (prin cerere de rambursare, D300 cu opțiunea bifată) — sunt lucruri diferite.</w:t>
      </w:r>
    </w:p>
    <w:p>
      <w:pPr>
        <w:pStyle w:val="Heading3"/>
      </w:pPr>
      <w:r>
        <w:t>7.2 Conturi fără sold în balanță</w:t>
      </w:r>
    </w:p>
    <w:p>
      <w:pPr>
        <w:jc w:val="both"/>
      </w:pPr>
      <w:r>
        <w:t>✅ Corect în notițe, cu o precizare de formulare:</w:t>
      </w:r>
    </w:p>
    <w:p>
      <w:pPr>
        <w:jc w:val="both"/>
      </w:pPr>
      <w:r>
        <w:rPr>
          <w:b/>
        </w:rPr>
        <w:t>Clasa 6 și clasa 7</w:t>
      </w:r>
      <w:r>
        <w:t xml:space="preserve"> — nu au sold </w:t>
      </w:r>
      <w:r>
        <w:rPr>
          <w:b/>
        </w:rPr>
        <w:t>după închiderea</w:t>
      </w:r>
      <w:r>
        <w:t xml:space="preserve"> lor la 121. În balanța lunară, înainte de închidere, au sold (cumulat de la începutul anului). În bilanț nu apar deloc.</w:t>
      </w:r>
    </w:p>
    <w:p>
      <w:pPr>
        <w:jc w:val="both"/>
      </w:pPr>
      <w:r>
        <w:rPr>
          <w:b/>
        </w:rPr>
        <w:t>4426 și 4427</w:t>
      </w:r>
      <w:r>
        <w:t xml:space="preserve"> — se </w:t>
      </w:r>
      <w:r>
        <w:rPr>
          <w:b/>
        </w:rPr>
        <w:t>regularizează</w:t>
      </w:r>
      <w:r>
        <w:t xml:space="preserve"> la sfârșitul fiecărei perioade fiscale în 4423 sau 4424:</w:t>
      </w:r>
    </w:p>
    <w:p>
      <w:pPr>
        <w:ind w:left="280"/>
      </w:pPr>
      <w:r>
        <w:rPr>
          <w:rFonts w:ascii="Consolas" w:hAnsi="Consolas"/>
          <w:sz w:val="18"/>
        </w:rPr>
        <w:t>4427        =  %</w:t>
        <w:br/>
        <w:t xml:space="preserve">  4426</w:t>
        <w:br/>
        <w:t xml:space="preserve">  4423                 (dacă rezultă TVA de plată)</w:t>
        <w:br/>
        <w:t>sau</w:t>
        <w:br/>
        <w:t>%           =  4426</w:t>
        <w:br/>
        <w:t xml:space="preserve">  4427</w:t>
        <w:br/>
        <w:t xml:space="preserve">  4424                 (dacă rezultă TVA de recuperat)</w:t>
      </w:r>
    </w:p>
    <w:p>
      <w:pPr>
        <w:jc w:val="both"/>
      </w:pPr>
      <w:r>
        <w:t xml:space="preserve">⚠️ Notița adăuga „excluzând 711" la conturile care ar avea sold. Nu e corect: </w:t>
      </w:r>
      <w:r>
        <w:rPr>
          <w:b/>
        </w:rPr>
        <w:t>711 se închide la 121 exact ca orice alt cont de clasa 7</w:t>
      </w:r>
      <w:r>
        <w:t xml:space="preserve">. Ce e adevărat despre 711 e altceva — că are rulaje </w:t>
      </w:r>
      <w:r>
        <w:rPr>
          <w:i/>
        </w:rPr>
        <w:t>în ambele sensuri</w:t>
      </w:r>
      <w:r>
        <w:t xml:space="preserve"> în cursul perioadei, ceea ce îl face să arate diferit de restul clasei 7. Soldul lui însă se închide.</w:t>
      </w:r>
    </w:p>
    <w:p>
      <w:pPr>
        <w:jc w:val="both"/>
      </w:pPr>
      <w:r>
        <w:t xml:space="preserve">➕ </w:t>
      </w:r>
      <w:r>
        <w:rPr>
          <w:b/>
        </w:rPr>
        <w:t>Excepții reale la regula „4426/4427 fără sold":</w:t>
      </w:r>
    </w:p>
    <w:p>
      <w:pPr>
        <w:pStyle w:val="ListBullet"/>
      </w:pPr>
      <w:r>
        <w:t xml:space="preserve">entitățile cu </w:t>
      </w:r>
      <w:r>
        <w:rPr>
          <w:b/>
        </w:rPr>
        <w:t>pro-rată</w:t>
      </w:r>
      <w:r>
        <w:t xml:space="preserve"> de deducere (deducere parțială);</w:t>
      </w:r>
    </w:p>
    <w:p>
      <w:pPr>
        <w:pStyle w:val="ListBullet"/>
      </w:pPr>
      <w:r>
        <w:t xml:space="preserve">entitățile cu </w:t>
      </w:r>
      <w:r>
        <w:rPr>
          <w:b/>
        </w:rPr>
        <w:t>TVA la încasare</w:t>
      </w:r>
      <w:r>
        <w:t xml:space="preserve"> — unde partea neexigibilă stă în 4428.</w:t>
      </w:r>
    </w:p>
    <w:p>
      <w:pPr>
        <w:pStyle w:val="Heading3"/>
      </w:pPr>
      <w:r>
        <w:t>7.3 Jurnalele — corelația obligatorie</w:t>
      </w:r>
    </w:p>
    <w:p>
      <w:pPr>
        <w:ind w:left="280"/>
      </w:pPr>
      <w:r>
        <w:rPr>
          <w:rFonts w:ascii="Consolas" w:hAnsi="Consolas"/>
          <w:sz w:val="18"/>
        </w:rPr>
        <w:t>Rulaj 4426  ⟺  Total TVA din jurnalul de cumpărări</w:t>
        <w:br/>
        <w:t>Rulaj 4427  ⟺  Total TVA din jurnalul de vânzări</w:t>
        <w:br/>
        <w:t>Decontul D300 se construiește DIN cele două jurnale</w:t>
      </w:r>
    </w:p>
    <w:p>
      <w:pPr>
        <w:jc w:val="both"/>
      </w:pPr>
      <w:r>
        <w:t xml:space="preserve">✅ La inspecție ANAF ți se cer exact trei lucruri împreună: </w:t>
      </w:r>
      <w:r>
        <w:rPr>
          <w:b/>
        </w:rPr>
        <w:t>jurnalul de cumpărări, jurnalul de vânzări și decontul de TVA</w:t>
      </w:r>
      <w:r>
        <w:t>. Dacă cele trei nu se leagă, discuția devine foarte lungă.</w:t>
      </w:r>
    </w:p>
    <w:p>
      <w:pPr>
        <w:pStyle w:val="Heading3"/>
      </w:pPr>
      <w:r>
        <w:t>7.4 Înregistrări care NU vin dintr-o factură ⚠️</w:t>
      </w:r>
    </w:p>
    <w:p>
      <w:pPr>
        <w:jc w:val="both"/>
      </w:pPr>
      <w:r>
        <w:t xml:space="preserve">Punctul cel mai valoros din toată secțiunea, formalizat. Există operațiuni cu impact în TVA care </w:t>
      </w:r>
      <w:r>
        <w:rPr>
          <w:b/>
        </w:rPr>
        <w:t>nu au un document de tip factură în spate</w:t>
      </w:r>
      <w:r>
        <w:t xml:space="preserve"> și pe care softul </w:t>
      </w:r>
      <w:r>
        <w:rPr>
          <w:b/>
        </w:rPr>
        <w:t>nu le duce automat în jurnale</w:t>
      </w:r>
      <w:r>
        <w:t>:</w:t>
      </w:r>
    </w:p>
    <w:p>
      <w:pPr>
        <w:jc w:val="both"/>
      </w:pPr>
      <w:r>
        <w:rPr>
          <w:b/>
        </w:rPr>
        <w:t>a) TVA nedeductibilă 50% la autoturisme</w:t>
      </w:r>
      <w:r>
        <w:t xml:space="preserve"> (art. 298 Cod fiscal)</w:t>
      </w:r>
    </w:p>
    <w:p>
      <w:pPr>
        <w:jc w:val="both"/>
      </w:pPr>
      <w:r>
        <w:t>Pentru vehicule care nu sunt utilizate exclusiv în scopul activității economice, dreptul de deducere e limitat la 50%.</w:t>
      </w:r>
    </w:p>
    <w:p>
      <w:pPr>
        <w:ind w:left="280"/>
      </w:pPr>
      <w:r>
        <w:rPr>
          <w:rFonts w:ascii="Consolas" w:hAnsi="Consolas"/>
          <w:sz w:val="18"/>
        </w:rPr>
        <w:t>%           =  401</w:t>
        <w:br/>
        <w:t xml:space="preserve">  6xx / 2133                     (baza)</w:t>
        <w:br/>
        <w:t xml:space="preserve">  4426                           (50% din TVA — partea deductibilă)</w:t>
        <w:br/>
        <w:t xml:space="preserve">  6xx                            (50% din TVA — nedeductibilă, în cheltuială)</w:t>
      </w:r>
    </w:p>
    <w:p>
      <w:pPr>
        <w:jc w:val="both"/>
      </w:pPr>
      <w:r>
        <w:t xml:space="preserve">➕ Se aplică și limitarea de 50% la </w:t>
      </w:r>
      <w:r>
        <w:rPr>
          <w:b/>
        </w:rPr>
        <w:t>cheltuielile aferente</w:t>
      </w:r>
      <w:r>
        <w:t xml:space="preserve"> (combustibil, reparații, întreținere) — art. 25 alin. (3) lit. l) Cod fiscal, la calculul impozitului pe profit.</w:t>
      </w:r>
    </w:p>
    <w:p>
      <w:pPr>
        <w:jc w:val="both"/>
      </w:pPr>
      <w:r>
        <w:t xml:space="preserve">⚠️ Trebuie să te asiguri că ajustarea apare </w:t>
      </w:r>
      <w:r>
        <w:rPr>
          <w:b/>
        </w:rPr>
        <w:t>cu semnul minus în jurnalul de cumpărări</w:t>
      </w:r>
      <w:r>
        <w:t>, altfel jurnalul nu se mai leagă cu 4426.</w:t>
      </w:r>
    </w:p>
    <w:p>
      <w:pPr>
        <w:jc w:val="both"/>
      </w:pPr>
      <w:r>
        <w:rPr>
          <w:b/>
        </w:rPr>
        <w:t>b) Lipsă la inventar</w:t>
      </w:r>
    </w:p>
    <w:p>
      <w:pPr>
        <w:jc w:val="both"/>
      </w:pPr>
      <w:r>
        <w:t xml:space="preserve">Pe lângă cheltuiala nedeductibilă, apare și un efect de TVA. ⚠️ </w:t>
      </w:r>
      <w:r>
        <w:rPr>
          <w:b/>
        </w:rPr>
        <w:t>Atenție la formulare</w:t>
      </w:r>
      <w:r>
        <w:t xml:space="preserve"> — notița zicea simplu „trebuie să colectez TVA", dar tratamentul diferă:</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Situație</w:t>
            </w:r>
          </w:p>
        </w:tc>
        <w:tc>
          <w:tcPr>
            <w:tcW w:type="dxa" w:w="4320"/>
          </w:tcPr>
          <w:p>
            <w:pPr>
              <w:spacing w:after="40"/>
            </w:pPr>
            <w:r>
              <w:rPr>
                <w:b/>
                <w:sz w:val="18"/>
              </w:rPr>
            </w:r>
            <w:r>
              <w:rPr>
                <w:b/>
                <w:sz w:val="18"/>
              </w:rPr>
              <w:t>Tratament TVA</w:t>
            </w:r>
          </w:p>
        </w:tc>
      </w:tr>
      <w:tr>
        <w:tc>
          <w:tcPr>
            <w:tcW w:type="dxa" w:w="4320"/>
          </w:tcPr>
          <w:p>
            <w:pPr>
              <w:spacing w:after="40"/>
            </w:pPr>
            <w:r>
              <w:rPr>
                <w:sz w:val="18"/>
              </w:rPr>
            </w:r>
            <w:r>
              <w:rPr>
                <w:sz w:val="18"/>
              </w:rPr>
              <w:t xml:space="preserve">Lipsă </w:t>
            </w:r>
            <w:r>
              <w:rPr>
                <w:b/>
                <w:sz w:val="18"/>
              </w:rPr>
              <w:t>imputabilă</w:t>
            </w:r>
            <w:r>
              <w:rPr>
                <w:sz w:val="18"/>
              </w:rPr>
              <w:t xml:space="preserve"> (se recuperează de la o persoană)</w:t>
            </w:r>
          </w:p>
        </w:tc>
        <w:tc>
          <w:tcPr>
            <w:tcW w:type="dxa" w:w="4320"/>
          </w:tcPr>
          <w:p>
            <w:pPr>
              <w:spacing w:after="40"/>
            </w:pPr>
            <w:r>
              <w:rPr>
                <w:sz w:val="18"/>
              </w:rPr>
            </w:r>
            <w:r>
              <w:rPr>
                <w:sz w:val="18"/>
              </w:rPr>
              <w:t xml:space="preserve">operațiune asimilată unei livrări → </w:t>
            </w:r>
            <w:r>
              <w:rPr>
                <w:b/>
                <w:sz w:val="18"/>
              </w:rPr>
              <w:t>colectare TVA</w:t>
            </w:r>
            <w:r>
              <w:rPr>
                <w:sz w:val="18"/>
              </w:rPr>
              <w:t xml:space="preserve"> (4427)</w:t>
            </w:r>
          </w:p>
        </w:tc>
      </w:tr>
      <w:tr>
        <w:tc>
          <w:tcPr>
            <w:tcW w:type="dxa" w:w="4320"/>
          </w:tcPr>
          <w:p>
            <w:pPr>
              <w:spacing w:after="40"/>
            </w:pPr>
            <w:r>
              <w:rPr>
                <w:sz w:val="18"/>
              </w:rPr>
            </w:r>
            <w:r>
              <w:rPr>
                <w:sz w:val="18"/>
              </w:rPr>
              <w:t xml:space="preserve">Lipsă </w:t>
            </w:r>
            <w:r>
              <w:rPr>
                <w:b/>
                <w:sz w:val="18"/>
              </w:rPr>
              <w:t>neimputabilă</w:t>
            </w:r>
            <w:r>
              <w:rPr>
                <w:sz w:val="18"/>
              </w:rPr>
              <w:t>, nejustificată</w:t>
            </w:r>
          </w:p>
        </w:tc>
        <w:tc>
          <w:tcPr>
            <w:tcW w:type="dxa" w:w="4320"/>
          </w:tcPr>
          <w:p>
            <w:pPr>
              <w:spacing w:after="40"/>
            </w:pPr>
            <w:r>
              <w:rPr>
                <w:sz w:val="18"/>
              </w:rPr>
            </w:r>
            <w:r>
              <w:rPr>
                <w:b/>
                <w:sz w:val="18"/>
              </w:rPr>
              <w:t>ajustarea dreptului de deducere</w:t>
            </w:r>
            <w:r>
              <w:rPr>
                <w:sz w:val="18"/>
              </w:rPr>
              <w:t xml:space="preserve"> (art. 304/305)</w:t>
            </w:r>
          </w:p>
        </w:tc>
      </w:tr>
      <w:tr>
        <w:tc>
          <w:tcPr>
            <w:tcW w:type="dxa" w:w="4320"/>
          </w:tcPr>
          <w:p>
            <w:pPr>
              <w:spacing w:after="40"/>
            </w:pPr>
            <w:r>
              <w:rPr>
                <w:sz w:val="18"/>
              </w:rPr>
            </w:r>
            <w:r>
              <w:rPr>
                <w:sz w:val="18"/>
              </w:rPr>
              <w:t xml:space="preserve">Bunuri distruse/degradate calitativ, </w:t>
            </w:r>
            <w:r>
              <w:rPr>
                <w:b/>
                <w:sz w:val="18"/>
              </w:rPr>
              <w:t>cu documente justificative</w:t>
            </w:r>
            <w:r>
              <w:rPr>
                <w:sz w:val="18"/>
              </w:rPr>
              <w:t xml:space="preserve"> (proces-verbal, condiții de la art. 304 alin. 2)</w:t>
            </w:r>
          </w:p>
        </w:tc>
        <w:tc>
          <w:tcPr>
            <w:tcW w:type="dxa" w:w="4320"/>
          </w:tcPr>
          <w:p>
            <w:pPr>
              <w:spacing w:after="40"/>
            </w:pPr>
            <w:r>
              <w:rPr>
                <w:sz w:val="18"/>
              </w:rPr>
            </w:r>
            <w:r>
              <w:rPr>
                <w:b/>
                <w:sz w:val="18"/>
              </w:rPr>
              <w:t>fără ajustare</w:t>
            </w:r>
          </w:p>
        </w:tc>
      </w:tr>
      <w:tr>
        <w:tc>
          <w:tcPr>
            <w:tcW w:type="dxa" w:w="4320"/>
          </w:tcPr>
          <w:p>
            <w:pPr>
              <w:spacing w:after="40"/>
            </w:pPr>
            <w:r>
              <w:rPr>
                <w:sz w:val="18"/>
              </w:rPr>
            </w:r>
            <w:r>
              <w:rPr>
                <w:sz w:val="18"/>
              </w:rPr>
              <w:t>Perisabilități în limitele legale</w:t>
            </w:r>
          </w:p>
        </w:tc>
        <w:tc>
          <w:tcPr>
            <w:tcW w:type="dxa" w:w="4320"/>
          </w:tcPr>
          <w:p>
            <w:pPr>
              <w:spacing w:after="40"/>
            </w:pPr>
            <w:r>
              <w:rPr>
                <w:sz w:val="18"/>
              </w:rPr>
            </w:r>
            <w:r>
              <w:rPr>
                <w:sz w:val="18"/>
              </w:rPr>
              <w:t>fără ajustare</w:t>
            </w:r>
          </w:p>
        </w:tc>
      </w:tr>
    </w:tbl>
    <w:p/>
    <w:p>
      <w:pPr>
        <w:jc w:val="both"/>
      </w:pPr>
      <w:r>
        <w:t>❓ De confirmat cu formatorul care dintre variante se practică în cabinet ca default și ce documentație se cere.</w:t>
      </w:r>
    </w:p>
    <w:p>
      <w:pPr>
        <w:jc w:val="both"/>
      </w:pPr>
      <w:r>
        <w:rPr>
          <w:b/>
        </w:rPr>
        <w:t>c) Alte cazuri de același tip:</w:t>
      </w:r>
      <w:r>
        <w:t xml:space="preserve"> autofacturare, ajustări de TVA la bunuri de capital, TVA la achiziții pentru care s-a schimbat destinația.</w:t>
      </w:r>
    </w:p>
    <w:p>
      <w:pPr>
        <w:jc w:val="both"/>
      </w:pPr>
      <w:r>
        <w:t xml:space="preserve">➕ </w:t>
      </w:r>
      <w:r>
        <w:rPr>
          <w:b/>
        </w:rPr>
        <w:t>Regulă de lucru:</w:t>
      </w:r>
      <w:r>
        <w:t xml:space="preserve"> la închiderea fiecărei luni, listează diferența dintre TVA din balanță și TVA din jurnale. Dacă e diferență, cauza e aproape întotdeauna una dintre înregistrările de mai sus.</w:t>
      </w:r>
    </w:p>
    <w:p>
      <w:pPr>
        <w:pStyle w:val="Heading3"/>
      </w:pPr>
      <w:r>
        <w:t>7.5 Contul 4428 — două utilizări complet diferite</w:t>
      </w:r>
    </w:p>
    <w:p>
      <w:pPr>
        <w:jc w:val="both"/>
      </w:pPr>
      <w:r>
        <w:t>✅ Notița observa corect că 4428 „poate fi și de activ și de pasiv". Motivul: sunt două mecanisme distincte care folosesc același cont.</w:t>
      </w:r>
    </w:p>
    <w:p>
      <w:pPr>
        <w:jc w:val="both"/>
      </w:pPr>
      <w:r>
        <w:rPr>
          <w:b/>
        </w:rPr>
        <w:t>Utilizarea 1 — TVA la încasare</w:t>
      </w:r>
      <w:r>
        <w:t xml:space="preserve"> (cont de tranzit)</w:t>
      </w:r>
    </w:p>
    <w:p>
      <w:pPr>
        <w:jc w:val="both"/>
      </w:pPr>
      <w:r>
        <w:t>Pentru entitățile care aplică sistemul TVA la încasare, exigibilitatea se amână până la încasare/plată:</w:t>
      </w:r>
    </w:p>
    <w:p>
      <w:pPr>
        <w:ind w:left="280"/>
      </w:pPr>
      <w:r>
        <w:rPr>
          <w:rFonts w:ascii="Consolas" w:hAnsi="Consolas"/>
          <w:sz w:val="18"/>
        </w:rPr>
        <w:t>La primirea facturii:      4428  =  401         (nu am plătit → nu deduc încă)</w:t>
        <w:br/>
        <w:t>La plata facturii:         4426  =  4428        (acum deduc)</w:t>
        <w:br/>
        <w:br/>
        <w:t>La emiterea facturii:      4111  =  4428        (nu am încasat → nu colectez încă)</w:t>
        <w:br/>
        <w:t>La încasare:               4428  =  4427        (acum colectez)</w:t>
      </w:r>
    </w:p>
    <w:p>
      <w:pPr>
        <w:jc w:val="both"/>
      </w:pPr>
      <w:r>
        <w:t xml:space="preserve">➕ </w:t>
      </w:r>
      <w:r>
        <w:rPr>
          <w:b/>
        </w:rPr>
        <w:t>Analitic obligatoriu:</w:t>
      </w:r>
      <w:r>
        <w:t xml:space="preserve"> </w:t>
      </w:r>
      <w:r>
        <w:rPr>
          <w:rFonts w:ascii="Consolas" w:hAnsi="Consolas"/>
          <w:color w:val="1F4E79"/>
          <w:sz w:val="19"/>
        </w:rPr>
        <w:t>4428.1 TVA neexigibilă la cumpărări</w:t>
      </w:r>
      <w:r>
        <w:t xml:space="preserve"> / </w:t>
      </w:r>
      <w:r>
        <w:rPr>
          <w:rFonts w:ascii="Consolas" w:hAnsi="Consolas"/>
          <w:color w:val="1F4E79"/>
          <w:sz w:val="19"/>
        </w:rPr>
        <w:t>4428.2 TVA neexigibilă la vânzări</w:t>
      </w:r>
      <w:r>
        <w:t>. Fără separare, soldul e ilizibil și nu poți justifica nimic la control.</w:t>
      </w:r>
    </w:p>
    <w:p>
      <w:pPr>
        <w:jc w:val="both"/>
      </w:pPr>
      <w:r>
        <w:rPr>
          <w:b/>
        </w:rPr>
        <w:t>Utilizarea 2 — gestiunea cu amănuntul</w:t>
      </w:r>
      <w:r>
        <w:t xml:space="preserve"> (TVA „în așteptare" în preț)</w:t>
      </w:r>
    </w:p>
    <w:p>
      <w:pPr>
        <w:jc w:val="both"/>
      </w:pPr>
      <w:r>
        <w:t xml:space="preserve">Când marfa e ținută în gestiune la </w:t>
      </w:r>
      <w:r>
        <w:rPr>
          <w:b/>
        </w:rPr>
        <w:t>preț de vânzare cu amănuntul</w:t>
      </w:r>
      <w:r>
        <w:t>, prețul include deja TVA-ul. Acel TVA stă în 4428 până la vânzarea efectivă.</w:t>
      </w:r>
    </w:p>
    <w:p>
      <w:pPr>
        <w:jc w:val="both"/>
      </w:pPr>
      <w:r>
        <w:t xml:space="preserve">⚠️ </w:t>
      </w:r>
      <w:r>
        <w:rPr>
          <w:b/>
        </w:rPr>
        <w:t>Corecție de raționament:</w:t>
      </w:r>
      <w:r>
        <w:t xml:space="preserve"> notița explica 4428 în gestiunea cu amănuntul ca „TVA pe care îl dau la stat când îl primesc și eu de la clienți". </w:t>
      </w:r>
      <w:r>
        <w:rPr>
          <w:b/>
        </w:rPr>
        <w:t>Nu e același lucru cu TVA la încasare.</w:t>
      </w:r>
      <w:r>
        <w:t xml:space="preserve"> Aici TVA-ul devine exigibil la </w:t>
      </w:r>
      <w:r>
        <w:rPr>
          <w:b/>
        </w:rPr>
        <w:t>momentul vânzării</w:t>
      </w:r>
      <w:r>
        <w:t xml:space="preserve"> (bon fiscal emis), indiferent dacă ai încasat sau nu. 4428 e „neexigibil" pentru că </w:t>
      </w:r>
      <w:r>
        <w:rPr>
          <w:b/>
        </w:rPr>
        <w:t>marfa nu s-a vândut încă</w:t>
      </w:r>
      <w:r>
        <w:t>, nu pentru că nu ai încasat.</w:t>
      </w:r>
    </w:p>
    <w:p>
      <w:pPr>
        <w:jc w:val="both"/>
      </w:pPr>
      <w:r>
        <w:t>Confuzia asta produce erori reale în decont. Ține-le separate.</w:t>
      </w:r>
    </w:p>
    <w:p>
      <w:pPr>
        <w:spacing w:before="40" w:after="160"/>
        <w:pBdr>
          <w:bottom w:val="single" w:sz="6" w:color="DBE3EA"/>
        </w:pBdr>
      </w:pPr>
    </w:p>
    <w:p>
      <w:pPr>
        <w:pStyle w:val="Heading2"/>
      </w:pPr>
      <w:r>
        <w:t>8. Mărfuri (371)</w:t>
      </w:r>
    </w:p>
    <w:p>
      <w:pPr>
        <w:pStyle w:val="Heading3"/>
      </w:pPr>
      <w:r>
        <w:t>8.1 Prima decizie: ce tip de gestiune creezi</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p>
        </w:tc>
        <w:tc>
          <w:tcPr>
            <w:tcW w:type="dxa" w:w="2880"/>
          </w:tcPr>
          <w:p>
            <w:pPr>
              <w:spacing w:after="40"/>
            </w:pPr>
            <w:r>
              <w:rPr>
                <w:b/>
                <w:sz w:val="18"/>
              </w:rPr>
            </w:r>
            <w:r>
              <w:rPr>
                <w:b/>
                <w:sz w:val="18"/>
              </w:rPr>
              <w:t>En gros</w:t>
            </w:r>
          </w:p>
        </w:tc>
        <w:tc>
          <w:tcPr>
            <w:tcW w:type="dxa" w:w="2880"/>
          </w:tcPr>
          <w:p>
            <w:pPr>
              <w:spacing w:after="40"/>
            </w:pPr>
            <w:r>
              <w:rPr>
                <w:b/>
                <w:sz w:val="18"/>
              </w:rPr>
            </w:r>
            <w:r>
              <w:rPr>
                <w:b/>
                <w:sz w:val="18"/>
              </w:rPr>
              <w:t>Cu amănuntul</w:t>
            </w:r>
          </w:p>
        </w:tc>
      </w:tr>
      <w:tr>
        <w:tc>
          <w:tcPr>
            <w:tcW w:type="dxa" w:w="2880"/>
          </w:tcPr>
          <w:p>
            <w:pPr>
              <w:spacing w:after="40"/>
            </w:pPr>
            <w:r>
              <w:rPr>
                <w:sz w:val="18"/>
              </w:rPr>
            </w:r>
            <w:r>
              <w:rPr>
                <w:sz w:val="18"/>
              </w:rPr>
              <w:t>Gestiunea se ține la</w:t>
            </w:r>
          </w:p>
        </w:tc>
        <w:tc>
          <w:tcPr>
            <w:tcW w:type="dxa" w:w="2880"/>
          </w:tcPr>
          <w:p>
            <w:pPr>
              <w:spacing w:after="40"/>
            </w:pPr>
            <w:r>
              <w:rPr>
                <w:sz w:val="18"/>
              </w:rPr>
            </w:r>
            <w:r>
              <w:rPr>
                <w:b/>
                <w:sz w:val="18"/>
              </w:rPr>
              <w:t>preț de achiziție</w:t>
            </w:r>
          </w:p>
        </w:tc>
        <w:tc>
          <w:tcPr>
            <w:tcW w:type="dxa" w:w="2880"/>
          </w:tcPr>
          <w:p>
            <w:pPr>
              <w:spacing w:after="40"/>
            </w:pPr>
            <w:r>
              <w:rPr>
                <w:sz w:val="18"/>
              </w:rPr>
            </w:r>
            <w:r>
              <w:rPr>
                <w:b/>
                <w:sz w:val="18"/>
              </w:rPr>
              <w:t>preț de vânzare cu amănuntul (cu TVA)</w:t>
            </w:r>
          </w:p>
        </w:tc>
      </w:tr>
      <w:tr>
        <w:tc>
          <w:tcPr>
            <w:tcW w:type="dxa" w:w="2880"/>
          </w:tcPr>
          <w:p>
            <w:pPr>
              <w:spacing w:after="40"/>
            </w:pPr>
            <w:r>
              <w:rPr>
                <w:sz w:val="18"/>
              </w:rPr>
            </w:r>
            <w:r>
              <w:rPr>
                <w:sz w:val="18"/>
              </w:rPr>
              <w:t>Conturi implicate</w:t>
            </w:r>
          </w:p>
        </w:tc>
        <w:tc>
          <w:tcPr>
            <w:tcW w:type="dxa" w:w="2880"/>
          </w:tcPr>
          <w:p>
            <w:pPr>
              <w:spacing w:after="40"/>
            </w:pPr>
            <w:r>
              <w:rPr>
                <w:sz w:val="18"/>
              </w:rPr>
            </w:r>
            <w:r>
              <w:rPr>
                <w:sz w:val="18"/>
              </w:rPr>
              <w:t>371, 401</w:t>
            </w:r>
          </w:p>
        </w:tc>
        <w:tc>
          <w:tcPr>
            <w:tcW w:type="dxa" w:w="2880"/>
          </w:tcPr>
          <w:p>
            <w:pPr>
              <w:spacing w:after="40"/>
            </w:pPr>
            <w:r>
              <w:rPr>
                <w:sz w:val="18"/>
              </w:rPr>
            </w:r>
            <w:r>
              <w:rPr>
                <w:sz w:val="18"/>
              </w:rPr>
              <w:t xml:space="preserve">371, 401, </w:t>
            </w:r>
            <w:r>
              <w:rPr>
                <w:b/>
                <w:sz w:val="18"/>
              </w:rPr>
              <w:t>378</w:t>
            </w:r>
            <w:r>
              <w:rPr>
                <w:sz w:val="18"/>
              </w:rPr>
              <w:t xml:space="preserve">, </w:t>
            </w:r>
            <w:r>
              <w:rPr>
                <w:b/>
                <w:sz w:val="18"/>
              </w:rPr>
              <w:t>4428</w:t>
            </w:r>
          </w:p>
        </w:tc>
      </w:tr>
      <w:tr>
        <w:tc>
          <w:tcPr>
            <w:tcW w:type="dxa" w:w="2880"/>
          </w:tcPr>
          <w:p>
            <w:pPr>
              <w:spacing w:after="40"/>
            </w:pPr>
            <w:r>
              <w:rPr>
                <w:sz w:val="18"/>
              </w:rPr>
            </w:r>
            <w:r>
              <w:rPr>
                <w:sz w:val="18"/>
              </w:rPr>
              <w:t>De ce</w:t>
            </w:r>
          </w:p>
        </w:tc>
        <w:tc>
          <w:tcPr>
            <w:tcW w:type="dxa" w:w="2880"/>
          </w:tcPr>
          <w:p>
            <w:pPr>
              <w:spacing w:after="40"/>
            </w:pPr>
            <w:r>
              <w:rPr>
                <w:sz w:val="18"/>
              </w:rPr>
            </w:r>
            <w:r>
              <w:rPr>
                <w:sz w:val="18"/>
              </w:rPr>
              <w:t>poți avea prețuri preferențiale pe client; urmărirea și descărcarea de gestiune sunt simple</w:t>
            </w:r>
          </w:p>
        </w:tc>
        <w:tc>
          <w:tcPr>
            <w:tcW w:type="dxa" w:w="2880"/>
          </w:tcPr>
          <w:p>
            <w:pPr>
              <w:spacing w:after="40"/>
            </w:pPr>
            <w:r>
              <w:rPr>
                <w:sz w:val="18"/>
              </w:rPr>
            </w:r>
            <w:r>
              <w:rPr>
                <w:sz w:val="18"/>
              </w:rPr>
              <w:t>vinzi la preț unic afișat; nu poți urmări fiecare bon</w:t>
            </w:r>
          </w:p>
        </w:tc>
      </w:tr>
    </w:tbl>
    <w:p/>
    <w:p>
      <w:pPr>
        <w:jc w:val="both"/>
      </w:pPr>
      <w:r>
        <w:t xml:space="preserve">✅ Argumentul din notițe e corect: la en gros ții la preț de achiziție tocmai </w:t>
      </w:r>
      <w:r>
        <w:rPr>
          <w:b/>
        </w:rPr>
        <w:t>pentru că prețul de vânzare variază de la client la client</w:t>
      </w:r>
      <w:r>
        <w:t>. Dacă ai ține la preț de vânzare, ar trebui să reevaluezi gestiunea la fiecare contract.</w:t>
      </w:r>
    </w:p>
    <w:p>
      <w:pPr>
        <w:jc w:val="both"/>
      </w:pPr>
      <w:r>
        <w:rPr>
          <w:b/>
        </w:rPr>
        <w:t>Achiziția en gros:</w:t>
      </w:r>
    </w:p>
    <w:p>
      <w:pPr>
        <w:ind w:left="280"/>
      </w:pPr>
      <w:r>
        <w:rPr>
          <w:rFonts w:ascii="Consolas" w:hAnsi="Consolas"/>
          <w:sz w:val="18"/>
        </w:rPr>
        <w:t>371         =  401            20.000</w:t>
        <w:br/>
        <w:t>4426        =  401             4.200      (intern)</w:t>
        <w:br/>
        <w:t xml:space="preserve">   sau  4426 = 4427            4.200      (intracomunitar)</w:t>
      </w:r>
    </w:p>
    <w:p>
      <w:pPr>
        <w:pStyle w:val="Heading3"/>
      </w:pPr>
      <w:r>
        <w:t>8.2 Regula de aur a analiticelor</w:t>
      </w:r>
    </w:p>
    <w:p>
      <w:pPr>
        <w:ind w:left="360"/>
      </w:pPr>
      <w:r>
        <w:rPr>
          <w:b/>
          <w:i/>
          <w:color w:val="5D6E7E"/>
        </w:rPr>
        <w:t>Fiecare gestiune de marfă se ține separat pe analiticul ei. Nu amesteci niciodată:</w:t>
      </w:r>
    </w:p>
    <w:p>
      <w:pPr>
        <w:ind w:left="360"/>
      </w:pPr>
      <w:r>
        <w:rPr>
          <w:i/>
          <w:color w:val="5D6E7E"/>
        </w:rPr>
        <w:t>- gestiune cu 11% și gestiune cu 21%</w:t>
      </w:r>
    </w:p>
    <w:p>
      <w:pPr>
        <w:ind w:left="360"/>
      </w:pPr>
      <w:r>
        <w:rPr>
          <w:i/>
          <w:color w:val="5D6E7E"/>
        </w:rPr>
        <w:t>- gestiune en gros și gestiune cu amănuntul</w:t>
      </w:r>
    </w:p>
    <w:p>
      <w:pPr>
        <w:jc w:val="both"/>
      </w:pPr>
      <w:r>
        <w:t xml:space="preserve">✅ </w:t>
      </w:r>
      <w:r>
        <w:rPr>
          <w:b/>
        </w:rPr>
        <w:t>De ce:</w:t>
      </w:r>
      <w:r>
        <w:t xml:space="preserve"> pentru că verificarea lui 4428 se face aplicând cota pe soldul gestiunii (vezi 8.6). Dacă amesteci cotele, corelația devine imposibil de verificat și nu mai poți spune dacă ai o eroare sau doar un mix de cote.</w:t>
      </w:r>
    </w:p>
    <w:p>
      <w:pPr>
        <w:pStyle w:val="Heading3"/>
      </w:pPr>
      <w:r>
        <w:t>8.3 Importul — TVA în vamă, taxe vamale, transport</w:t>
      </w:r>
    </w:p>
    <w:p>
      <w:pPr>
        <w:jc w:val="both"/>
      </w:pPr>
      <w:r>
        <w:rPr>
          <w:b/>
        </w:rPr>
        <w:t>Varianta A — plătești TVA-ul direct în vamă, prin bancă:</w:t>
      </w:r>
    </w:p>
    <w:p>
      <w:pPr>
        <w:ind w:left="280"/>
      </w:pPr>
      <w:r>
        <w:rPr>
          <w:rFonts w:ascii="Consolas" w:hAnsi="Consolas"/>
          <w:sz w:val="18"/>
        </w:rPr>
        <w:t>4426        =  5121                       (TVA deductibil, plătit efectiv)</w:t>
      </w:r>
    </w:p>
    <w:p>
      <w:pPr>
        <w:jc w:val="both"/>
      </w:pPr>
      <w:r>
        <w:rPr>
          <w:b/>
        </w:rPr>
        <w:t>Varianta B — prin comisionar vamal:</w:t>
      </w:r>
    </w:p>
    <w:p>
      <w:pPr>
        <w:ind w:left="280"/>
      </w:pPr>
      <w:r>
        <w:rPr>
          <w:rFonts w:ascii="Consolas" w:hAnsi="Consolas"/>
          <w:sz w:val="18"/>
        </w:rPr>
        <w:t>4426        =  446                        (TVA-ul achitat de comisionar în numele tău)</w:t>
        <w:br/>
        <w:t>446         =  401                        (îl datorezi comisionarului)</w:t>
      </w:r>
    </w:p>
    <w:p>
      <w:pPr>
        <w:jc w:val="both"/>
      </w:pPr>
      <w:r>
        <w:t xml:space="preserve">➕ Notița observa că a doua înregistrare „e puțin forțată, pentru că 446 e cont de pasiv". Corect — </w:t>
      </w:r>
      <w:r>
        <w:rPr>
          <w:b/>
        </w:rPr>
        <w:t>446 „Alte impozite, taxe și vărsăminte asimilate"</w:t>
      </w:r>
      <w:r>
        <w:t xml:space="preserve"> funcționează aici ca un cont de tranzit. Alternativ, unele cabinete folosesc 461/462 pentru decontarea cu comisionarul. Ce contează e să fie </w:t>
      </w:r>
      <w:r>
        <w:rPr>
          <w:b/>
        </w:rPr>
        <w:t>consecvent</w:t>
      </w:r>
      <w:r>
        <w:t xml:space="preserve"> și documentat în politici.</w:t>
      </w:r>
    </w:p>
    <w:p>
      <w:pPr>
        <w:jc w:val="both"/>
      </w:pPr>
      <w:r>
        <w:t xml:space="preserve">➕ </w:t>
      </w:r>
      <w:r>
        <w:rPr>
          <w:b/>
        </w:rPr>
        <w:t>Varianta C, care lipsea:</w:t>
      </w:r>
      <w:r>
        <w:t xml:space="preserve"> societățile cu </w:t>
      </w:r>
      <w:r>
        <w:rPr>
          <w:b/>
        </w:rPr>
        <w:t>certificat de amânare de la plata TVA în vamă</w:t>
      </w:r>
      <w:r>
        <w:t xml:space="preserve"> nu plătesc TVA-ul efectiv, ci aplică taxare inversă: </w:t>
      </w:r>
      <w:r>
        <w:rPr>
          <w:rFonts w:ascii="Consolas" w:hAnsi="Consolas"/>
          <w:color w:val="1F4E79"/>
          <w:sz w:val="19"/>
        </w:rPr>
        <w:t>4426 = 4427</w:t>
      </w:r>
      <w:r>
        <w:t>. Merită verificat dacă clientul îndeplinește condițiile — e un avantaj mare de cash-flow.</w:t>
      </w:r>
    </w:p>
    <w:p>
      <w:pPr>
        <w:jc w:val="both"/>
      </w:pPr>
      <w:r>
        <w:rPr>
          <w:b/>
        </w:rPr>
        <w:t>Taxele vamale și transportul intră în costul mărfii</w:t>
      </w:r>
      <w:r>
        <w:t xml:space="preserve"> (OMFP 1802/2014 — costul de achiziție include taxele nerecuperabile, transportul, manipularea):</w:t>
      </w:r>
    </w:p>
    <w:p>
      <w:pPr>
        <w:ind w:left="280"/>
      </w:pPr>
      <w:r>
        <w:rPr>
          <w:rFonts w:ascii="Consolas" w:hAnsi="Consolas"/>
          <w:sz w:val="18"/>
        </w:rPr>
        <w:t>371         =  446            (taxe vamale)</w:t>
        <w:br/>
        <w:t>371         =  401            (transport pe factură separată)</w:t>
      </w:r>
    </w:p>
    <w:p>
      <w:pPr>
        <w:pStyle w:val="Heading3"/>
      </w:pPr>
      <w:r>
        <w:t>8.4 Capcana majoră: gestiunea ≠ contabilitatea</w:t>
      </w:r>
    </w:p>
    <w:p>
      <w:pPr>
        <w:jc w:val="both"/>
      </w:pPr>
      <w:r>
        <w:rPr>
          <w:b/>
        </w:rPr>
        <w:t>Situația reală descrisă în notițe, formalizată:</w:t>
      </w:r>
    </w:p>
    <w:p>
      <w:pPr>
        <w:jc w:val="both"/>
      </w:pPr>
      <w:r>
        <w:t xml:space="preserve">Softul de gestiune al clientului ia prețul din </w:t>
      </w:r>
      <w:r>
        <w:rPr>
          <w:b/>
        </w:rPr>
        <w:t>invoice</w:t>
      </w:r>
      <w:r>
        <w:t xml:space="preserve"> (fără taxe vamale, fără transport). Contabilitatea înregistrează costul complet (</w:t>
      </w:r>
      <w:r>
        <w:rPr>
          <w:b/>
        </w:rPr>
        <w:t>cu</w:t>
      </w:r>
      <w:r>
        <w:t xml:space="preserve"> taxe vamale și transport). Rezultat: </w:t>
      </w:r>
      <w:r>
        <w:rPr>
          <w:b/>
        </w:rPr>
        <w:t>valoarea scriptică din contabilitate e mai mare decât cea din gestiune</w:t>
      </w:r>
      <w:r>
        <w:t>. La inventariere, diferența iese la suprafață — și e prea târziu.</w:t>
      </w:r>
    </w:p>
    <w:p>
      <w:pPr>
        <w:jc w:val="both"/>
      </w:pPr>
      <w:r>
        <w:t>Efectele:</w:t>
      </w:r>
    </w:p>
    <w:p>
      <w:pPr>
        <w:pStyle w:val="ListNumber"/>
      </w:pPr>
      <w:r>
        <w:t>Valoare de inventar necorelată;</w:t>
      </w:r>
    </w:p>
    <w:p>
      <w:pPr>
        <w:pStyle w:val="ListNumber"/>
      </w:pPr>
      <w:r>
        <w:rPr>
          <w:b/>
        </w:rPr>
        <w:t>Descărcare de gestiune greșită</w:t>
      </w:r>
      <w:r>
        <w:t xml:space="preserve"> — înregistrezi o cheltuială (607) diferită de cea reală;</w:t>
      </w:r>
    </w:p>
    <w:p>
      <w:pPr>
        <w:pStyle w:val="ListNumber"/>
      </w:pPr>
      <w:r>
        <w:t>Marja pe produs e falsă, deci și deciziile comerciale ale clientului.</w:t>
      </w:r>
    </w:p>
    <w:p>
      <w:pPr>
        <w:ind w:left="360"/>
      </w:pPr>
      <w:r>
        <w:rPr>
          <w:i/>
          <w:color w:val="5D6E7E"/>
        </w:rPr>
        <w:t xml:space="preserve">⚠️ </w:t>
      </w:r>
      <w:r>
        <w:rPr>
          <w:b/>
          <w:i/>
          <w:color w:val="5D6E7E"/>
        </w:rPr>
        <w:t>Regula:</w:t>
      </w:r>
      <w:r>
        <w:rPr>
          <w:i/>
          <w:color w:val="5D6E7E"/>
        </w:rPr>
        <w:t xml:space="preserve"> valoarea la care înregistrezi în 371 trebuie să fie </w:t>
      </w:r>
      <w:r>
        <w:rPr>
          <w:b/>
          <w:i/>
          <w:color w:val="5D6E7E"/>
        </w:rPr>
        <w:t>identică</w:t>
      </w:r>
      <w:r>
        <w:rPr>
          <w:i/>
          <w:color w:val="5D6E7E"/>
        </w:rPr>
        <w:t xml:space="preserve"> cu valoarea din softul de gestiune din care clientul emite facturile către clienții lui.</w:t>
      </w:r>
    </w:p>
    <w:p>
      <w:pPr>
        <w:jc w:val="both"/>
      </w:pPr>
      <w:r>
        <w:rPr>
          <w:b/>
        </w:rPr>
        <w:t>Exemplul din notițe:</w:t>
      </w:r>
    </w:p>
    <w:p>
      <w:pPr>
        <w:ind w:left="280"/>
      </w:pPr>
      <w:r>
        <w:rPr>
          <w:rFonts w:ascii="Consolas" w:hAnsi="Consolas"/>
          <w:sz w:val="18"/>
        </w:rPr>
        <w:t>Factura furnizor:  100 lei</w:t>
        <w:br/>
        <w:t>NIR:               130 lei</w:t>
      </w:r>
    </w:p>
    <w:p>
      <w:pPr>
        <w:jc w:val="both"/>
      </w:pPr>
      <w:r>
        <w:t xml:space="preserve">Nu accepți diferența, ci </w:t>
      </w:r>
      <w:r>
        <w:rPr>
          <w:b/>
        </w:rPr>
        <w:t>întrebi</w:t>
      </w:r>
      <w:r>
        <w:t xml:space="preserve">: de unde ies cei 30 lei? Răspunsul tipic: „am inclus taxe vamale + transport". Bine — atunci NIR-ul e corect, iar factura de transport </w:t>
      </w:r>
      <w:r>
        <w:rPr>
          <w:b/>
        </w:rPr>
        <w:t>nu se mai înregistrează separat pe 624</w:t>
      </w:r>
      <w:r>
        <w:t>, pentru că valoarea ei e deja în 371. Altfel dublezi cheltuiala și umfli prețul mărfii.</w:t>
      </w:r>
    </w:p>
    <w:p>
      <w:pPr>
        <w:jc w:val="both"/>
      </w:pPr>
      <w:r>
        <w:t xml:space="preserve">➕ </w:t>
      </w:r>
      <w:r>
        <w:rPr>
          <w:b/>
        </w:rPr>
        <w:t>Cine își asumă ce:</w:t>
      </w:r>
      <w:r>
        <w:t xml:space="preserve"> dacă gestionarul face NIR-ul cu taxe vamale și transport incluse, el își asumă calculul. Rolul cabinetului e să valideze metoda, nu să o refacă. Dar metoda trebuie </w:t>
      </w:r>
      <w:r>
        <w:rPr>
          <w:b/>
        </w:rPr>
        <w:t>stabilită în scris, la începutul colaborării</w:t>
      </w:r>
      <w:r>
        <w:t>, nu descoperită în decembrie.</w:t>
      </w:r>
    </w:p>
    <w:p>
      <w:pPr>
        <w:jc w:val="both"/>
      </w:pPr>
      <w:r>
        <w:t>➕ Există sisteme care fac automat preluarea taxelor vamale și a transportului în prețul mărfii (repartizare pe cantitate sau pe valoare). Merită întrebat furnizorul de soft — economisește ore de reconciliere.</w:t>
      </w:r>
    </w:p>
    <w:p>
      <w:pPr>
        <w:pStyle w:val="Heading3"/>
      </w:pPr>
      <w:r>
        <w:t>8.5 Încărcarea gestiunii cu amănuntul — exemple</w:t>
      </w:r>
    </w:p>
    <w:p>
      <w:pPr>
        <w:jc w:val="both"/>
      </w:pPr>
      <w:r>
        <w:rPr>
          <w:b/>
        </w:rPr>
        <w:t>Exemplul 1 — cotă 21%</w:t>
      </w:r>
    </w:p>
    <w:p>
      <w:pPr>
        <w:jc w:val="both"/>
      </w:pPr>
      <w:r>
        <w:t>Marfă 20.000 lei | adaos 20% | TVA 21%</w:t>
      </w:r>
    </w:p>
    <w:p>
      <w:pPr>
        <w:ind w:left="280"/>
      </w:pPr>
      <w:r>
        <w:rPr>
          <w:rFonts w:ascii="Consolas" w:hAnsi="Consolas"/>
          <w:sz w:val="18"/>
        </w:rPr>
        <w:t>371         =  %              29.040</w:t>
        <w:br/>
        <w:t xml:space="preserve">  401                         20.000        (costul de achiziție)</w:t>
        <w:br/>
        <w:t xml:space="preserve">  378                          4.000        (adaosul comercial: 20% × 20.000)</w:t>
        <w:br/>
        <w:t xml:space="preserve">  4428                         5.040        (21% × 24.000)</w:t>
      </w:r>
    </w:p>
    <w:p>
      <w:pPr>
        <w:ind w:left="360"/>
      </w:pPr>
      <w:r>
        <w:rPr>
          <w:i/>
          <w:color w:val="5D6E7E"/>
        </w:rPr>
        <w:t xml:space="preserve">⚠️ </w:t>
      </w:r>
      <w:r>
        <w:rPr>
          <w:b/>
          <w:i/>
          <w:color w:val="5D6E7E"/>
        </w:rPr>
        <w:t>TVA-ul se aplică la preț + adaos, nu doar la preț.</w:t>
      </w:r>
      <w:r>
        <w:rPr>
          <w:i/>
          <w:color w:val="5D6E7E"/>
        </w:rPr>
        <w:t xml:space="preserve"> Statul încasează TVA și pe marja ta comercială.</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Cont</w:t>
            </w:r>
          </w:p>
        </w:tc>
        <w:tc>
          <w:tcPr>
            <w:tcW w:type="dxa" w:w="4320"/>
          </w:tcPr>
          <w:p>
            <w:pPr>
              <w:spacing w:after="40"/>
            </w:pPr>
            <w:r>
              <w:rPr>
                <w:b/>
                <w:sz w:val="18"/>
              </w:rPr>
            </w:r>
            <w:r>
              <w:rPr>
                <w:b/>
                <w:sz w:val="18"/>
              </w:rPr>
              <w:t>Sumă</w:t>
            </w:r>
          </w:p>
        </w:tc>
      </w:tr>
      <w:tr>
        <w:tc>
          <w:tcPr>
            <w:tcW w:type="dxa" w:w="4320"/>
          </w:tcPr>
          <w:p>
            <w:pPr>
              <w:spacing w:after="40"/>
            </w:pPr>
            <w:r>
              <w:rPr>
                <w:sz w:val="18"/>
              </w:rPr>
            </w:r>
            <w:r>
              <w:rPr>
                <w:sz w:val="18"/>
              </w:rPr>
              <w:t>371 (debit)</w:t>
            </w:r>
          </w:p>
        </w:tc>
        <w:tc>
          <w:tcPr>
            <w:tcW w:type="dxa" w:w="4320"/>
          </w:tcPr>
          <w:p>
            <w:pPr>
              <w:spacing w:after="40"/>
            </w:pPr>
            <w:r>
              <w:rPr>
                <w:sz w:val="18"/>
              </w:rPr>
            </w:r>
            <w:r>
              <w:rPr>
                <w:b/>
                <w:sz w:val="18"/>
              </w:rPr>
              <w:t>29.040</w:t>
            </w:r>
          </w:p>
        </w:tc>
      </w:tr>
      <w:tr>
        <w:tc>
          <w:tcPr>
            <w:tcW w:type="dxa" w:w="4320"/>
          </w:tcPr>
          <w:p>
            <w:pPr>
              <w:spacing w:after="40"/>
            </w:pPr>
            <w:r>
              <w:rPr>
                <w:sz w:val="18"/>
              </w:rPr>
            </w:r>
            <w:r>
              <w:rPr>
                <w:sz w:val="18"/>
              </w:rPr>
              <w:t>401</w:t>
            </w:r>
          </w:p>
        </w:tc>
        <w:tc>
          <w:tcPr>
            <w:tcW w:type="dxa" w:w="4320"/>
          </w:tcPr>
          <w:p>
            <w:pPr>
              <w:spacing w:after="40"/>
            </w:pPr>
            <w:r>
              <w:rPr>
                <w:sz w:val="18"/>
              </w:rPr>
            </w:r>
            <w:r>
              <w:rPr>
                <w:sz w:val="18"/>
              </w:rPr>
              <w:t>20.000</w:t>
            </w:r>
          </w:p>
        </w:tc>
      </w:tr>
      <w:tr>
        <w:tc>
          <w:tcPr>
            <w:tcW w:type="dxa" w:w="4320"/>
          </w:tcPr>
          <w:p>
            <w:pPr>
              <w:spacing w:after="40"/>
            </w:pPr>
            <w:r>
              <w:rPr>
                <w:sz w:val="18"/>
              </w:rPr>
            </w:r>
            <w:r>
              <w:rPr>
                <w:sz w:val="18"/>
              </w:rPr>
              <w:t>378</w:t>
            </w:r>
          </w:p>
        </w:tc>
        <w:tc>
          <w:tcPr>
            <w:tcW w:type="dxa" w:w="4320"/>
          </w:tcPr>
          <w:p>
            <w:pPr>
              <w:spacing w:after="40"/>
            </w:pPr>
            <w:r>
              <w:rPr>
                <w:sz w:val="18"/>
              </w:rPr>
            </w:r>
            <w:r>
              <w:rPr>
                <w:sz w:val="18"/>
              </w:rPr>
              <w:t>4.000</w:t>
            </w:r>
          </w:p>
        </w:tc>
      </w:tr>
      <w:tr>
        <w:tc>
          <w:tcPr>
            <w:tcW w:type="dxa" w:w="4320"/>
          </w:tcPr>
          <w:p>
            <w:pPr>
              <w:spacing w:after="40"/>
            </w:pPr>
            <w:r>
              <w:rPr>
                <w:sz w:val="18"/>
              </w:rPr>
            </w:r>
            <w:r>
              <w:rPr>
                <w:sz w:val="18"/>
              </w:rPr>
              <w:t>4428</w:t>
            </w:r>
          </w:p>
        </w:tc>
        <w:tc>
          <w:tcPr>
            <w:tcW w:type="dxa" w:w="4320"/>
          </w:tcPr>
          <w:p>
            <w:pPr>
              <w:spacing w:after="40"/>
            </w:pPr>
            <w:r>
              <w:rPr>
                <w:sz w:val="18"/>
              </w:rPr>
            </w:r>
            <w:r>
              <w:rPr>
                <w:sz w:val="18"/>
              </w:rPr>
              <w:t>5.040</w:t>
            </w:r>
          </w:p>
        </w:tc>
      </w:tr>
    </w:tbl>
    <w:p/>
    <w:p>
      <w:pPr>
        <w:jc w:val="both"/>
      </w:pPr>
      <w:r>
        <w:rPr>
          <w:b/>
        </w:rPr>
        <w:t>Exemplul 2 — cotă 11%</w:t>
      </w:r>
      <w:r>
        <w:t xml:space="preserve"> ⚠️ </w:t>
      </w:r>
      <w:r>
        <w:rPr>
          <w:b/>
        </w:rPr>
        <w:t>corectat</w:t>
      </w:r>
    </w:p>
    <w:p>
      <w:pPr>
        <w:jc w:val="both"/>
      </w:pPr>
      <w:r>
        <w:t>Marfă 20.000 lei | adaos 20% | TVA 11%</w:t>
      </w:r>
    </w:p>
    <w:p>
      <w:pPr>
        <w:ind w:left="280"/>
      </w:pPr>
      <w:r>
        <w:rPr>
          <w:rFonts w:ascii="Consolas" w:hAnsi="Consolas"/>
          <w:sz w:val="18"/>
        </w:rPr>
        <w:t>371         =  %              26.640</w:t>
        <w:br/>
        <w:t xml:space="preserve">  401                         20.000</w:t>
        <w:br/>
        <w:t xml:space="preserve">  378                          4.000</w:t>
        <w:br/>
        <w:t xml:space="preserve">  4428                         2.640        (11% × 24.000)</w:t>
      </w:r>
    </w:p>
    <w:p>
      <w:pPr>
        <w:jc w:val="both"/>
      </w:pPr>
      <w:r>
        <w:t xml:space="preserve">⚠️ În notițe scria </w:t>
      </w:r>
      <w:r>
        <w:rPr>
          <w:rFonts w:ascii="Consolas" w:hAnsi="Consolas"/>
          <w:color w:val="1F4E79"/>
          <w:sz w:val="19"/>
        </w:rPr>
        <w:t>4428 = 0,44</w:t>
      </w:r>
      <w:r>
        <w:t xml:space="preserve"> și total </w:t>
      </w:r>
      <w:r>
        <w:rPr>
          <w:rFonts w:ascii="Consolas" w:hAnsi="Consolas"/>
          <w:color w:val="1F4E79"/>
          <w:sz w:val="19"/>
        </w:rPr>
        <w:t>371 = 29,04k</w:t>
      </w:r>
      <w:r>
        <w:t xml:space="preserve">. </w:t>
      </w:r>
      <w:r>
        <w:rPr>
          <w:b/>
        </w:rPr>
        <w:t>Ambele greșite.</w:t>
      </w:r>
      <w:r>
        <w:t xml:space="preserve"> 11% din 24.000 = </w:t>
      </w:r>
      <w:r>
        <w:rPr>
          <w:b/>
        </w:rPr>
        <w:t>2.640</w:t>
      </w:r>
      <w:r>
        <w:t xml:space="preserve">, iar totalul lui 371 = 20.000 + 4.000 + 2.640 = </w:t>
      </w:r>
      <w:r>
        <w:rPr>
          <w:b/>
        </w:rPr>
        <w:t>26.640</w:t>
      </w:r>
      <w:r>
        <w:t>. (Valoarea de 29.040 era copiată din exemplul cu 21%.)</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Cont</w:t>
            </w:r>
          </w:p>
        </w:tc>
        <w:tc>
          <w:tcPr>
            <w:tcW w:type="dxa" w:w="4320"/>
          </w:tcPr>
          <w:p>
            <w:pPr>
              <w:spacing w:after="40"/>
            </w:pPr>
            <w:r>
              <w:rPr>
                <w:b/>
                <w:sz w:val="18"/>
              </w:rPr>
            </w:r>
            <w:r>
              <w:rPr>
                <w:b/>
                <w:sz w:val="18"/>
              </w:rPr>
              <w:t>Sumă</w:t>
            </w:r>
          </w:p>
        </w:tc>
      </w:tr>
      <w:tr>
        <w:tc>
          <w:tcPr>
            <w:tcW w:type="dxa" w:w="4320"/>
          </w:tcPr>
          <w:p>
            <w:pPr>
              <w:spacing w:after="40"/>
            </w:pPr>
            <w:r>
              <w:rPr>
                <w:sz w:val="18"/>
              </w:rPr>
            </w:r>
            <w:r>
              <w:rPr>
                <w:sz w:val="18"/>
              </w:rPr>
              <w:t>371 (debit)</w:t>
            </w:r>
          </w:p>
        </w:tc>
        <w:tc>
          <w:tcPr>
            <w:tcW w:type="dxa" w:w="4320"/>
          </w:tcPr>
          <w:p>
            <w:pPr>
              <w:spacing w:after="40"/>
            </w:pPr>
            <w:r>
              <w:rPr>
                <w:sz w:val="18"/>
              </w:rPr>
            </w:r>
            <w:r>
              <w:rPr>
                <w:b/>
                <w:sz w:val="18"/>
              </w:rPr>
              <w:t>26.640</w:t>
            </w:r>
          </w:p>
        </w:tc>
      </w:tr>
      <w:tr>
        <w:tc>
          <w:tcPr>
            <w:tcW w:type="dxa" w:w="4320"/>
          </w:tcPr>
          <w:p>
            <w:pPr>
              <w:spacing w:after="40"/>
            </w:pPr>
            <w:r>
              <w:rPr>
                <w:sz w:val="18"/>
              </w:rPr>
            </w:r>
            <w:r>
              <w:rPr>
                <w:sz w:val="18"/>
              </w:rPr>
              <w:t>401</w:t>
            </w:r>
          </w:p>
        </w:tc>
        <w:tc>
          <w:tcPr>
            <w:tcW w:type="dxa" w:w="4320"/>
          </w:tcPr>
          <w:p>
            <w:pPr>
              <w:spacing w:after="40"/>
            </w:pPr>
            <w:r>
              <w:rPr>
                <w:sz w:val="18"/>
              </w:rPr>
            </w:r>
            <w:r>
              <w:rPr>
                <w:sz w:val="18"/>
              </w:rPr>
              <w:t>20.000</w:t>
            </w:r>
          </w:p>
        </w:tc>
      </w:tr>
      <w:tr>
        <w:tc>
          <w:tcPr>
            <w:tcW w:type="dxa" w:w="4320"/>
          </w:tcPr>
          <w:p>
            <w:pPr>
              <w:spacing w:after="40"/>
            </w:pPr>
            <w:r>
              <w:rPr>
                <w:sz w:val="18"/>
              </w:rPr>
            </w:r>
            <w:r>
              <w:rPr>
                <w:sz w:val="18"/>
              </w:rPr>
              <w:t>378</w:t>
            </w:r>
          </w:p>
        </w:tc>
        <w:tc>
          <w:tcPr>
            <w:tcW w:type="dxa" w:w="4320"/>
          </w:tcPr>
          <w:p>
            <w:pPr>
              <w:spacing w:after="40"/>
            </w:pPr>
            <w:r>
              <w:rPr>
                <w:sz w:val="18"/>
              </w:rPr>
            </w:r>
            <w:r>
              <w:rPr>
                <w:sz w:val="18"/>
              </w:rPr>
              <w:t>4.000</w:t>
            </w:r>
          </w:p>
        </w:tc>
      </w:tr>
      <w:tr>
        <w:tc>
          <w:tcPr>
            <w:tcW w:type="dxa" w:w="4320"/>
          </w:tcPr>
          <w:p>
            <w:pPr>
              <w:spacing w:after="40"/>
            </w:pPr>
            <w:r>
              <w:rPr>
                <w:sz w:val="18"/>
              </w:rPr>
            </w:r>
            <w:r>
              <w:rPr>
                <w:sz w:val="18"/>
              </w:rPr>
              <w:t>4428</w:t>
            </w:r>
          </w:p>
        </w:tc>
        <w:tc>
          <w:tcPr>
            <w:tcW w:type="dxa" w:w="4320"/>
          </w:tcPr>
          <w:p>
            <w:pPr>
              <w:spacing w:after="40"/>
            </w:pPr>
            <w:r>
              <w:rPr>
                <w:sz w:val="18"/>
              </w:rPr>
            </w:r>
            <w:r>
              <w:rPr>
                <w:sz w:val="18"/>
              </w:rPr>
              <w:t>2.640</w:t>
            </w:r>
          </w:p>
        </w:tc>
      </w:tr>
    </w:tbl>
    <w:p/>
    <w:p>
      <w:pPr>
        <w:pStyle w:val="Heading3"/>
      </w:pPr>
      <w:r>
        <w:t>8.6 Vânzarea și descărcarea de gestiune — răspunsul la `???`</w:t>
      </w:r>
    </w:p>
    <w:p>
      <w:pPr>
        <w:jc w:val="both"/>
      </w:pPr>
      <w:r>
        <w:t xml:space="preserve">Notițele se opreau la </w:t>
      </w:r>
      <w:r>
        <w:rPr>
          <w:i/>
        </w:rPr>
        <w:t>„să presupunem că vindem integral această marfă — ???"</w:t>
      </w:r>
      <w:r>
        <w:t>. Pe exemplul 1 (21%):</w:t>
      </w:r>
    </w:p>
    <w:p>
      <w:pPr>
        <w:jc w:val="both"/>
      </w:pPr>
      <w:r>
        <w:rPr>
          <w:b/>
        </w:rPr>
        <w:t>(1) Vânzarea — încasare prin casierie:</w:t>
      </w:r>
    </w:p>
    <w:p>
      <w:pPr>
        <w:ind w:left="280"/>
      </w:pPr>
      <w:r>
        <w:rPr>
          <w:rFonts w:ascii="Consolas" w:hAnsi="Consolas"/>
          <w:sz w:val="18"/>
        </w:rPr>
        <w:t>5311        =  %              29.040</w:t>
        <w:br/>
        <w:t xml:space="preserve">  707                         24.000        Venituri din vânzarea mărfurilor</w:t>
        <w:br/>
        <w:t xml:space="preserve">  4427                         5.040        TVA colectată</w:t>
      </w:r>
    </w:p>
    <w:p>
      <w:pPr>
        <w:jc w:val="both"/>
      </w:pPr>
      <w:r>
        <w:rPr>
          <w:b/>
        </w:rPr>
        <w:t>(2) Descărcarea de gestiune — trei componente:</w:t>
      </w:r>
    </w:p>
    <w:p>
      <w:pPr>
        <w:ind w:left="280"/>
      </w:pPr>
      <w:r>
        <w:rPr>
          <w:rFonts w:ascii="Consolas" w:hAnsi="Consolas"/>
          <w:sz w:val="18"/>
        </w:rPr>
        <w:t>%           =  371            29.040</w:t>
        <w:br/>
        <w:t xml:space="preserve">  607                         20.000        Cheltuieli privind mărfurile (costul real)</w:t>
        <w:br/>
        <w:t xml:space="preserve">  378                          4.000        adaosul aferent mărfurilor vândute</w:t>
        <w:br/>
        <w:t xml:space="preserve">  4428                         5.040        TVA-ul devenit exigibil</w:t>
      </w:r>
    </w:p>
    <w:p>
      <w:pPr>
        <w:jc w:val="both"/>
      </w:pPr>
      <w:r>
        <w:rPr>
          <w:b/>
        </w:rPr>
        <w:t>Verificare:</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p>
        </w:tc>
        <w:tc>
          <w:tcPr>
            <w:tcW w:type="dxa" w:w="4320"/>
          </w:tcPr>
          <w:p>
            <w:pPr>
              <w:spacing w:after="40"/>
            </w:pPr>
            <w:r>
              <w:rPr>
                <w:b/>
                <w:sz w:val="18"/>
              </w:rPr>
            </w:r>
          </w:p>
        </w:tc>
      </w:tr>
      <w:tr>
        <w:tc>
          <w:tcPr>
            <w:tcW w:type="dxa" w:w="4320"/>
          </w:tcPr>
          <w:p>
            <w:pPr>
              <w:spacing w:after="40"/>
            </w:pPr>
            <w:r>
              <w:rPr>
                <w:sz w:val="18"/>
              </w:rPr>
            </w:r>
            <w:r>
              <w:rPr>
                <w:sz w:val="18"/>
              </w:rPr>
              <w:t>Sold 371</w:t>
            </w:r>
          </w:p>
        </w:tc>
        <w:tc>
          <w:tcPr>
            <w:tcW w:type="dxa" w:w="4320"/>
          </w:tcPr>
          <w:p>
            <w:pPr>
              <w:spacing w:after="40"/>
            </w:pPr>
            <w:r>
              <w:rPr>
                <w:sz w:val="18"/>
              </w:rPr>
            </w:r>
            <w:r>
              <w:rPr>
                <w:sz w:val="18"/>
              </w:rPr>
              <w:t xml:space="preserve">29.040 − 29.040 = </w:t>
            </w:r>
            <w:r>
              <w:rPr>
                <w:b/>
                <w:sz w:val="18"/>
              </w:rPr>
              <w:t>0</w:t>
            </w:r>
            <w:r>
              <w:rPr>
                <w:sz w:val="18"/>
              </w:rPr>
              <w:t xml:space="preserve"> ✅</w:t>
            </w:r>
          </w:p>
        </w:tc>
      </w:tr>
      <w:tr>
        <w:tc>
          <w:tcPr>
            <w:tcW w:type="dxa" w:w="4320"/>
          </w:tcPr>
          <w:p>
            <w:pPr>
              <w:spacing w:after="40"/>
            </w:pPr>
            <w:r>
              <w:rPr>
                <w:sz w:val="18"/>
              </w:rPr>
            </w:r>
            <w:r>
              <w:rPr>
                <w:sz w:val="18"/>
              </w:rPr>
              <w:t>Sold 378</w:t>
            </w:r>
          </w:p>
        </w:tc>
        <w:tc>
          <w:tcPr>
            <w:tcW w:type="dxa" w:w="4320"/>
          </w:tcPr>
          <w:p>
            <w:pPr>
              <w:spacing w:after="40"/>
            </w:pPr>
            <w:r>
              <w:rPr>
                <w:sz w:val="18"/>
              </w:rPr>
            </w:r>
            <w:r>
              <w:rPr>
                <w:sz w:val="18"/>
              </w:rPr>
              <w:t xml:space="preserve">4.000 − 4.000 = </w:t>
            </w:r>
            <w:r>
              <w:rPr>
                <w:b/>
                <w:sz w:val="18"/>
              </w:rPr>
              <w:t>0</w:t>
            </w:r>
            <w:r>
              <w:rPr>
                <w:sz w:val="18"/>
              </w:rPr>
              <w:t xml:space="preserve"> ✅</w:t>
            </w:r>
          </w:p>
        </w:tc>
      </w:tr>
      <w:tr>
        <w:tc>
          <w:tcPr>
            <w:tcW w:type="dxa" w:w="4320"/>
          </w:tcPr>
          <w:p>
            <w:pPr>
              <w:spacing w:after="40"/>
            </w:pPr>
            <w:r>
              <w:rPr>
                <w:sz w:val="18"/>
              </w:rPr>
            </w:r>
            <w:r>
              <w:rPr>
                <w:sz w:val="18"/>
              </w:rPr>
              <w:t>Sold 4428</w:t>
            </w:r>
          </w:p>
        </w:tc>
        <w:tc>
          <w:tcPr>
            <w:tcW w:type="dxa" w:w="4320"/>
          </w:tcPr>
          <w:p>
            <w:pPr>
              <w:spacing w:after="40"/>
            </w:pPr>
            <w:r>
              <w:rPr>
                <w:sz w:val="18"/>
              </w:rPr>
            </w:r>
            <w:r>
              <w:rPr>
                <w:sz w:val="18"/>
              </w:rPr>
              <w:t xml:space="preserve">5.040 − 5.040 = </w:t>
            </w:r>
            <w:r>
              <w:rPr>
                <w:b/>
                <w:sz w:val="18"/>
              </w:rPr>
              <w:t>0</w:t>
            </w:r>
            <w:r>
              <w:rPr>
                <w:sz w:val="18"/>
              </w:rPr>
              <w:t xml:space="preserve"> ✅</w:t>
            </w:r>
          </w:p>
        </w:tc>
      </w:tr>
      <w:tr>
        <w:tc>
          <w:tcPr>
            <w:tcW w:type="dxa" w:w="4320"/>
          </w:tcPr>
          <w:p>
            <w:pPr>
              <w:spacing w:after="40"/>
            </w:pPr>
            <w:r>
              <w:rPr>
                <w:sz w:val="18"/>
              </w:rPr>
            </w:r>
            <w:r>
              <w:rPr>
                <w:sz w:val="18"/>
              </w:rPr>
              <w:t>Marja</w:t>
            </w:r>
          </w:p>
        </w:tc>
        <w:tc>
          <w:tcPr>
            <w:tcW w:type="dxa" w:w="4320"/>
          </w:tcPr>
          <w:p>
            <w:pPr>
              <w:spacing w:after="40"/>
            </w:pPr>
            <w:r>
              <w:rPr>
                <w:sz w:val="18"/>
              </w:rPr>
            </w:r>
            <w:r>
              <w:rPr>
                <w:sz w:val="18"/>
              </w:rPr>
              <w:t xml:space="preserve">707 − 607 = 24.000 − 20.000 = </w:t>
            </w:r>
            <w:r>
              <w:rPr>
                <w:b/>
                <w:sz w:val="18"/>
              </w:rPr>
              <w:t>4.000</w:t>
            </w:r>
            <w:r>
              <w:rPr>
                <w:sz w:val="18"/>
              </w:rPr>
              <w:t xml:space="preserve"> = rulajul debitor 378 ✅</w:t>
            </w:r>
          </w:p>
        </w:tc>
      </w:tr>
    </w:tbl>
    <w:p/>
    <w:p>
      <w:pPr>
        <w:pStyle w:val="Heading3"/>
      </w:pPr>
      <w:r>
        <w:t>8.7 Corelațiile „sfinte"</w:t>
      </w:r>
    </w:p>
    <w:p>
      <w:pPr>
        <w:jc w:val="both"/>
      </w:pPr>
      <w:r>
        <w:t>Cele două verificări pe care le faci pe orice balanță cu gestiune cu amănuntul:</w:t>
      </w:r>
    </w:p>
    <w:p>
      <w:pPr>
        <w:ind w:left="360"/>
      </w:pPr>
      <w:r>
        <w:rPr>
          <w:b/>
          <w:i/>
          <w:color w:val="5D6E7E"/>
        </w:rPr>
        <w:t>CORELAȚIA 1</w:t>
      </w:r>
    </w:p>
    <w:p>
      <w:pPr>
        <w:ind w:left="360"/>
      </w:pPr>
      <w:r>
        <w:rPr>
          <w:rFonts w:ascii="Consolas" w:hAnsi="Consolas"/>
          <w:i/>
          <w:color w:val="5D6E7E"/>
          <w:sz w:val="19"/>
        </w:rPr>
        <w:t>`</w:t>
      </w:r>
    </w:p>
    <w:p>
      <w:pPr>
        <w:ind w:left="360"/>
      </w:pPr>
      <w:r>
        <w:rPr>
          <w:i/>
          <w:color w:val="5D6E7E"/>
        </w:rPr>
        <w:t>Rulaj creditor 707 − Rulaj debitor 607 = Rulaj debitor 378</w:t>
      </w:r>
    </w:p>
    <w:p>
      <w:pPr>
        <w:ind w:left="360"/>
      </w:pPr>
      <w:r>
        <w:rPr>
          <w:rFonts w:ascii="Consolas" w:hAnsi="Consolas"/>
          <w:i/>
          <w:color w:val="5D6E7E"/>
          <w:sz w:val="19"/>
        </w:rPr>
        <w:t>`</w:t>
      </w:r>
    </w:p>
    <w:p>
      <w:pPr>
        <w:ind w:left="360"/>
      </w:pPr>
      <w:r>
        <w:rPr>
          <w:i/>
          <w:color w:val="5D6E7E"/>
        </w:rPr>
        <w:t>Marja realizată din vânzări trebuie să fie exact adaosul descărcat din gestiune.</w:t>
      </w:r>
    </w:p>
    <w:p>
      <w:pPr>
        <w:ind w:left="360"/>
      </w:pPr>
      <w:r>
        <w:rPr>
          <w:b/>
          <w:i/>
          <w:color w:val="5D6E7E"/>
        </w:rPr>
        <w:t>CORELAȚIA 2</w:t>
      </w:r>
    </w:p>
    <w:p>
      <w:pPr>
        <w:ind w:left="360"/>
      </w:pPr>
      <w:r>
        <w:rPr>
          <w:rFonts w:ascii="Consolas" w:hAnsi="Consolas"/>
          <w:i/>
          <w:color w:val="5D6E7E"/>
          <w:sz w:val="19"/>
        </w:rPr>
        <w:t>`</w:t>
      </w:r>
    </w:p>
    <w:p>
      <w:pPr>
        <w:ind w:left="360"/>
      </w:pPr>
      <w:r>
        <w:rPr>
          <w:i/>
          <w:color w:val="5D6E7E"/>
        </w:rPr>
        <w:t>Sold 371 × 21 / 121 = Sold 4428        (gestiune cu cotă 21%)</w:t>
      </w:r>
    </w:p>
    <w:p>
      <w:pPr>
        <w:ind w:left="360"/>
      </w:pPr>
      <w:r>
        <w:rPr>
          <w:i/>
          <w:color w:val="5D6E7E"/>
        </w:rPr>
        <w:t>Sold 371 × 11 / 111 = Sold 4428        (gestiune cu cotă 11%)</w:t>
      </w:r>
    </w:p>
    <w:p>
      <w:pPr>
        <w:ind w:left="360"/>
      </w:pPr>
      <w:r>
        <w:rPr>
          <w:rFonts w:ascii="Consolas" w:hAnsi="Consolas"/>
          <w:i/>
          <w:color w:val="5D6E7E"/>
          <w:sz w:val="19"/>
        </w:rPr>
        <w:t>`</w:t>
      </w:r>
    </w:p>
    <w:p>
      <w:pPr>
        <w:ind w:left="360"/>
      </w:pPr>
      <w:r>
        <w:rPr>
          <w:i/>
          <w:color w:val="5D6E7E"/>
        </w:rPr>
        <w:t>TVA-ul conținut în stocul evaluat la preț de vânzare trebuie să fie exact soldul lui 4428.</w:t>
      </w:r>
    </w:p>
    <w:p>
      <w:pPr>
        <w:jc w:val="both"/>
      </w:pPr>
      <w:r>
        <w:t xml:space="preserve">⚠️ </w:t>
      </w:r>
      <w:r>
        <w:rPr>
          <w:b/>
        </w:rPr>
        <w:t>Limitele corelației 1</w:t>
      </w:r>
      <w:r>
        <w:t>, care nu erau menționate: nu se verifică dacă în cursul perioadei au existat reduceri comerciale primite/acordate ulterior facturării (609/709), diferențe de inventar, retururi sau transferuri între gestiuni. În aceste cazuri trebuie ajustată — nu concluziona automat că ai o eroare.</w:t>
      </w:r>
    </w:p>
    <w:p>
      <w:pPr>
        <w:jc w:val="both"/>
      </w:pPr>
      <w:r>
        <w:t xml:space="preserve">✅ </w:t>
      </w:r>
      <w:r>
        <w:rPr>
          <w:b/>
        </w:rPr>
        <w:t>Și acesta este exact motivul pentru care gestiunile se separă pe cote.</w:t>
      </w:r>
      <w:r>
        <w:t xml:space="preserve"> Corelația 2 nu poate fi calculată pe o gestiune mixtă.</w:t>
      </w:r>
    </w:p>
    <w:p>
      <w:pPr>
        <w:pStyle w:val="Heading3"/>
      </w:pPr>
      <w:r>
        <w:t>8.8 Coeficientul de repartizare a adaosului (K)</w:t>
      </w:r>
    </w:p>
    <w:p>
      <w:pPr>
        <w:jc w:val="both"/>
      </w:pPr>
      <w:r>
        <w:t xml:space="preserve">➕ </w:t>
      </w:r>
      <w:r>
        <w:rPr>
          <w:b/>
        </w:rPr>
        <w:t>Completare necesară.</w:t>
      </w:r>
      <w:r>
        <w:t xml:space="preserve"> În practică, la sfârșit de lună nu știi direct care e adaosul aferent mărfurilor vândute (vinzi bon cu bon, nu pe loturi). Se calculează prin coeficientul K:</w:t>
      </w:r>
    </w:p>
    <w:p>
      <w:pPr>
        <w:ind w:left="280"/>
      </w:pPr>
      <w:r>
        <w:rPr>
          <w:rFonts w:ascii="Consolas" w:hAnsi="Consolas"/>
          <w:sz w:val="18"/>
        </w:rPr>
        <w:t xml:space="preserve">              Si 378 + Rc 378</w:t>
        <w:br/>
        <w:t>K = ─────────────────────────────────────────────</w:t>
        <w:br/>
        <w:t xml:space="preserve">     (Si 371 − Si 4428) + (Rd 371 − Rc 4428)</w:t>
      </w:r>
    </w:p>
    <w:p>
      <w:pPr>
        <w:jc w:val="both"/>
      </w:pPr>
      <w:r>
        <w:rPr>
          <w:i/>
        </w:rPr>
        <w:t>(numitorul = valoarea mărfurilor la preț de vânzare, fără TVA)</w:t>
      </w:r>
    </w:p>
    <w:p>
      <w:pPr>
        <w:ind w:left="280"/>
      </w:pPr>
      <w:r>
        <w:rPr>
          <w:rFonts w:ascii="Consolas" w:hAnsi="Consolas"/>
          <w:sz w:val="18"/>
        </w:rPr>
        <w:t>Adaos aferent mărfurilor vândute = K × Rulaj creditor 707</w:t>
      </w:r>
    </w:p>
    <w:p>
      <w:pPr>
        <w:jc w:val="both"/>
      </w:pPr>
      <w:r>
        <w:rPr>
          <w:b/>
        </w:rPr>
        <w:t>Verificare pe exemplul 1:</w:t>
      </w:r>
    </w:p>
    <w:p>
      <w:pPr>
        <w:ind w:left="280"/>
      </w:pPr>
      <w:r>
        <w:rPr>
          <w:rFonts w:ascii="Consolas" w:hAnsi="Consolas"/>
          <w:sz w:val="18"/>
        </w:rPr>
        <w:t>K = 4.000 / (0 + 29.040 − 5.040) = 4.000 / 24.000 = 0,1667</w:t>
        <w:br/>
        <w:t>Adaos aferent vânzărilor = 0,1667 × 24.000 = 4.000   ✅</w:t>
      </w:r>
    </w:p>
    <w:p>
      <w:pPr>
        <w:spacing w:before="40" w:after="160"/>
        <w:pBdr>
          <w:bottom w:val="single" w:sz="6" w:color="DBE3EA"/>
        </w:pBdr>
      </w:pPr>
    </w:p>
    <w:p>
      <w:pPr>
        <w:pStyle w:val="Heading2"/>
      </w:pPr>
      <w:r>
        <w:t>9. Ambalaje și obligațiile de mediu</w:t>
      </w:r>
    </w:p>
    <w:p>
      <w:pPr>
        <w:pStyle w:val="Heading3"/>
      </w:pPr>
      <w:r>
        <w:t>9.1 Conturile</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Cont</w:t>
            </w:r>
          </w:p>
        </w:tc>
        <w:tc>
          <w:tcPr>
            <w:tcW w:type="dxa" w:w="4320"/>
          </w:tcPr>
          <w:p>
            <w:pPr>
              <w:spacing w:after="40"/>
            </w:pPr>
            <w:r>
              <w:rPr>
                <w:b/>
                <w:sz w:val="18"/>
              </w:rPr>
            </w:r>
            <w:r>
              <w:rPr>
                <w:b/>
                <w:sz w:val="18"/>
              </w:rPr>
              <w:t>Denumire</w:t>
            </w:r>
          </w:p>
        </w:tc>
      </w:tr>
      <w:tr>
        <w:tc>
          <w:tcPr>
            <w:tcW w:type="dxa" w:w="4320"/>
          </w:tcPr>
          <w:p>
            <w:pPr>
              <w:spacing w:after="40"/>
            </w:pPr>
            <w:r>
              <w:rPr>
                <w:sz w:val="18"/>
              </w:rPr>
            </w:r>
            <w:r>
              <w:rPr>
                <w:b/>
                <w:sz w:val="18"/>
              </w:rPr>
              <w:t>381</w:t>
            </w:r>
          </w:p>
        </w:tc>
        <w:tc>
          <w:tcPr>
            <w:tcW w:type="dxa" w:w="4320"/>
          </w:tcPr>
          <w:p>
            <w:pPr>
              <w:spacing w:after="40"/>
            </w:pPr>
            <w:r>
              <w:rPr>
                <w:sz w:val="18"/>
              </w:rPr>
            </w:r>
            <w:r>
              <w:rPr>
                <w:sz w:val="18"/>
              </w:rPr>
              <w:t>Ambalaje</w:t>
            </w:r>
          </w:p>
        </w:tc>
      </w:tr>
      <w:tr>
        <w:tc>
          <w:tcPr>
            <w:tcW w:type="dxa" w:w="4320"/>
          </w:tcPr>
          <w:p>
            <w:pPr>
              <w:spacing w:after="40"/>
            </w:pPr>
            <w:r>
              <w:rPr>
                <w:sz w:val="18"/>
              </w:rPr>
            </w:r>
            <w:r>
              <w:rPr>
                <w:b/>
                <w:sz w:val="18"/>
              </w:rPr>
              <w:t>388</w:t>
            </w:r>
          </w:p>
        </w:tc>
        <w:tc>
          <w:tcPr>
            <w:tcW w:type="dxa" w:w="4320"/>
          </w:tcPr>
          <w:p>
            <w:pPr>
              <w:spacing w:after="40"/>
            </w:pPr>
            <w:r>
              <w:rPr>
                <w:sz w:val="18"/>
              </w:rPr>
            </w:r>
            <w:r>
              <w:rPr>
                <w:sz w:val="18"/>
              </w:rPr>
              <w:t>Diferențe de preț la ambalaje</w:t>
            </w:r>
          </w:p>
        </w:tc>
      </w:tr>
      <w:tr>
        <w:tc>
          <w:tcPr>
            <w:tcW w:type="dxa" w:w="4320"/>
          </w:tcPr>
          <w:p>
            <w:pPr>
              <w:spacing w:after="40"/>
            </w:pPr>
            <w:r>
              <w:rPr>
                <w:sz w:val="18"/>
              </w:rPr>
            </w:r>
            <w:r>
              <w:rPr>
                <w:b/>
                <w:sz w:val="18"/>
              </w:rPr>
              <w:t>358</w:t>
            </w:r>
          </w:p>
        </w:tc>
        <w:tc>
          <w:tcPr>
            <w:tcW w:type="dxa" w:w="4320"/>
          </w:tcPr>
          <w:p>
            <w:pPr>
              <w:spacing w:after="40"/>
            </w:pPr>
            <w:r>
              <w:rPr>
                <w:sz w:val="18"/>
              </w:rPr>
            </w:r>
            <w:r>
              <w:rPr>
                <w:sz w:val="18"/>
              </w:rPr>
              <w:t>Ambalaje aflate la terți</w:t>
            </w:r>
          </w:p>
        </w:tc>
      </w:tr>
      <w:tr>
        <w:tc>
          <w:tcPr>
            <w:tcW w:type="dxa" w:w="4320"/>
          </w:tcPr>
          <w:p>
            <w:pPr>
              <w:spacing w:after="40"/>
            </w:pPr>
            <w:r>
              <w:rPr>
                <w:sz w:val="18"/>
              </w:rPr>
            </w:r>
            <w:r>
              <w:rPr>
                <w:b/>
                <w:sz w:val="18"/>
              </w:rPr>
              <w:t>3023</w:t>
            </w:r>
          </w:p>
        </w:tc>
        <w:tc>
          <w:tcPr>
            <w:tcW w:type="dxa" w:w="4320"/>
          </w:tcPr>
          <w:p>
            <w:pPr>
              <w:spacing w:after="40"/>
            </w:pPr>
            <w:r>
              <w:rPr>
                <w:sz w:val="18"/>
              </w:rPr>
            </w:r>
            <w:r>
              <w:rPr>
                <w:sz w:val="18"/>
              </w:rPr>
              <w:t>Materiale pentru ambalat</w:t>
            </w:r>
          </w:p>
        </w:tc>
      </w:tr>
      <w:tr>
        <w:tc>
          <w:tcPr>
            <w:tcW w:type="dxa" w:w="4320"/>
          </w:tcPr>
          <w:p>
            <w:pPr>
              <w:spacing w:after="40"/>
            </w:pPr>
            <w:r>
              <w:rPr>
                <w:sz w:val="18"/>
              </w:rPr>
            </w:r>
            <w:r>
              <w:rPr>
                <w:b/>
                <w:sz w:val="18"/>
              </w:rPr>
              <w:t>608</w:t>
            </w:r>
          </w:p>
        </w:tc>
        <w:tc>
          <w:tcPr>
            <w:tcW w:type="dxa" w:w="4320"/>
          </w:tcPr>
          <w:p>
            <w:pPr>
              <w:spacing w:after="40"/>
            </w:pPr>
            <w:r>
              <w:rPr>
                <w:sz w:val="18"/>
              </w:rPr>
            </w:r>
            <w:r>
              <w:rPr>
                <w:sz w:val="18"/>
              </w:rPr>
              <w:t>Cheltuieli privind ambalajele</w:t>
            </w:r>
          </w:p>
        </w:tc>
      </w:tr>
      <w:tr>
        <w:tc>
          <w:tcPr>
            <w:tcW w:type="dxa" w:w="4320"/>
          </w:tcPr>
          <w:p>
            <w:pPr>
              <w:spacing w:after="40"/>
            </w:pPr>
            <w:r>
              <w:rPr>
                <w:sz w:val="18"/>
              </w:rPr>
            </w:r>
            <w:r>
              <w:rPr>
                <w:b/>
                <w:sz w:val="18"/>
              </w:rPr>
              <w:t>652</w:t>
            </w:r>
          </w:p>
        </w:tc>
        <w:tc>
          <w:tcPr>
            <w:tcW w:type="dxa" w:w="4320"/>
          </w:tcPr>
          <w:p>
            <w:pPr>
              <w:spacing w:after="40"/>
            </w:pPr>
            <w:r>
              <w:rPr>
                <w:sz w:val="18"/>
              </w:rPr>
            </w:r>
            <w:r>
              <w:rPr>
                <w:b/>
                <w:sz w:val="18"/>
              </w:rPr>
              <w:t>Cheltuieli cu protecția mediului înconjurător</w:t>
            </w:r>
          </w:p>
        </w:tc>
      </w:tr>
    </w:tbl>
    <w:p/>
    <w:p>
      <w:pPr>
        <w:pStyle w:val="Heading3"/>
      </w:pPr>
      <w:r>
        <w:t>9.2 Tipurile de ambalaj</w:t>
      </w:r>
    </w:p>
    <w:p>
      <w:pPr>
        <w:jc w:val="both"/>
      </w:pPr>
      <w:r>
        <w:t>✅ Corect în notițe, completez al treilea nivel:</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Tip</w:t>
            </w:r>
          </w:p>
        </w:tc>
        <w:tc>
          <w:tcPr>
            <w:tcW w:type="dxa" w:w="2880"/>
          </w:tcPr>
          <w:p>
            <w:pPr>
              <w:spacing w:after="40"/>
            </w:pPr>
            <w:r>
              <w:rPr>
                <w:b/>
                <w:sz w:val="18"/>
              </w:rPr>
            </w:r>
            <w:r>
              <w:rPr>
                <w:b/>
                <w:sz w:val="18"/>
              </w:rPr>
              <w:t>Definiție</w:t>
            </w:r>
          </w:p>
        </w:tc>
        <w:tc>
          <w:tcPr>
            <w:tcW w:type="dxa" w:w="2880"/>
          </w:tcPr>
          <w:p>
            <w:pPr>
              <w:spacing w:after="40"/>
            </w:pPr>
            <w:r>
              <w:rPr>
                <w:b/>
                <w:sz w:val="18"/>
              </w:rPr>
            </w:r>
            <w:r>
              <w:rPr>
                <w:b/>
                <w:sz w:val="18"/>
              </w:rPr>
              <w:t>Exemplu (vopsea)</w:t>
            </w:r>
          </w:p>
        </w:tc>
      </w:tr>
      <w:tr>
        <w:tc>
          <w:tcPr>
            <w:tcW w:type="dxa" w:w="2880"/>
          </w:tcPr>
          <w:p>
            <w:pPr>
              <w:spacing w:after="40"/>
            </w:pPr>
            <w:r>
              <w:rPr>
                <w:sz w:val="18"/>
              </w:rPr>
            </w:r>
            <w:r>
              <w:rPr>
                <w:b/>
                <w:sz w:val="18"/>
              </w:rPr>
              <w:t>Primar</w:t>
            </w:r>
          </w:p>
        </w:tc>
        <w:tc>
          <w:tcPr>
            <w:tcW w:type="dxa" w:w="2880"/>
          </w:tcPr>
          <w:p>
            <w:pPr>
              <w:spacing w:after="40"/>
            </w:pPr>
            <w:r>
              <w:rPr>
                <w:sz w:val="18"/>
              </w:rPr>
            </w:r>
            <w:r>
              <w:rPr>
                <w:sz w:val="18"/>
              </w:rPr>
              <w:t>în contact direct cu produsul</w:t>
            </w:r>
          </w:p>
        </w:tc>
        <w:tc>
          <w:tcPr>
            <w:tcW w:type="dxa" w:w="2880"/>
          </w:tcPr>
          <w:p>
            <w:pPr>
              <w:spacing w:after="40"/>
            </w:pPr>
            <w:r>
              <w:rPr>
                <w:sz w:val="18"/>
              </w:rPr>
            </w:r>
            <w:r>
              <w:rPr>
                <w:sz w:val="18"/>
              </w:rPr>
              <w:t>cutia metalică de vopsea</w:t>
            </w:r>
          </w:p>
        </w:tc>
      </w:tr>
      <w:tr>
        <w:tc>
          <w:tcPr>
            <w:tcW w:type="dxa" w:w="2880"/>
          </w:tcPr>
          <w:p>
            <w:pPr>
              <w:spacing w:after="40"/>
            </w:pPr>
            <w:r>
              <w:rPr>
                <w:sz w:val="18"/>
              </w:rPr>
            </w:r>
            <w:r>
              <w:rPr>
                <w:b/>
                <w:sz w:val="18"/>
              </w:rPr>
              <w:t>Secundar</w:t>
            </w:r>
          </w:p>
        </w:tc>
        <w:tc>
          <w:tcPr>
            <w:tcW w:type="dxa" w:w="2880"/>
          </w:tcPr>
          <w:p>
            <w:pPr>
              <w:spacing w:after="40"/>
            </w:pPr>
            <w:r>
              <w:rPr>
                <w:sz w:val="18"/>
              </w:rPr>
            </w:r>
            <w:r>
              <w:rPr>
                <w:sz w:val="18"/>
              </w:rPr>
              <w:t>grupează mai multe unități</w:t>
            </w:r>
          </w:p>
        </w:tc>
        <w:tc>
          <w:tcPr>
            <w:tcW w:type="dxa" w:w="2880"/>
          </w:tcPr>
          <w:p>
            <w:pPr>
              <w:spacing w:after="40"/>
            </w:pPr>
            <w:r>
              <w:rPr>
                <w:sz w:val="18"/>
              </w:rPr>
            </w:r>
            <w:r>
              <w:rPr>
                <w:sz w:val="18"/>
              </w:rPr>
              <w:t>cutia de carton cu 6 bucăți</w:t>
            </w:r>
          </w:p>
        </w:tc>
      </w:tr>
      <w:tr>
        <w:tc>
          <w:tcPr>
            <w:tcW w:type="dxa" w:w="2880"/>
          </w:tcPr>
          <w:p>
            <w:pPr>
              <w:spacing w:after="40"/>
            </w:pPr>
            <w:r>
              <w:rPr>
                <w:sz w:val="18"/>
              </w:rPr>
            </w:r>
            <w:r>
              <w:rPr>
                <w:b/>
                <w:sz w:val="18"/>
              </w:rPr>
              <w:t>Terțiar</w:t>
            </w:r>
            <w:r>
              <w:rPr>
                <w:sz w:val="18"/>
              </w:rPr>
              <w:t xml:space="preserve"> (de transport)</w:t>
            </w:r>
          </w:p>
        </w:tc>
        <w:tc>
          <w:tcPr>
            <w:tcW w:type="dxa" w:w="2880"/>
          </w:tcPr>
          <w:p>
            <w:pPr>
              <w:spacing w:after="40"/>
            </w:pPr>
            <w:r>
              <w:rPr>
                <w:sz w:val="18"/>
              </w:rPr>
            </w:r>
            <w:r>
              <w:rPr>
                <w:sz w:val="18"/>
              </w:rPr>
              <w:t>pentru manipulare și transport</w:t>
            </w:r>
          </w:p>
        </w:tc>
        <w:tc>
          <w:tcPr>
            <w:tcW w:type="dxa" w:w="2880"/>
          </w:tcPr>
          <w:p>
            <w:pPr>
              <w:spacing w:after="40"/>
            </w:pPr>
            <w:r>
              <w:rPr>
                <w:sz w:val="18"/>
              </w:rPr>
            </w:r>
            <w:r>
              <w:rPr>
                <w:b/>
                <w:sz w:val="18"/>
              </w:rPr>
              <w:t>paletul, folia stretch</w:t>
            </w:r>
          </w:p>
        </w:tc>
      </w:tr>
    </w:tbl>
    <w:p/>
    <w:p>
      <w:pPr>
        <w:jc w:val="both"/>
      </w:pPr>
      <w:r>
        <w:t xml:space="preserve">➕ Greșeala clasică: se declară doar primarul și secundarul și se uită </w:t>
      </w:r>
      <w:r>
        <w:rPr>
          <w:b/>
        </w:rPr>
        <w:t>terțiarul</w:t>
      </w:r>
      <w:r>
        <w:t xml:space="preserve"> (paleții, folia). La import și achiziții intracomunitare, tocmai terțiarul e cel mai greu.</w:t>
      </w:r>
    </w:p>
    <w:p>
      <w:pPr>
        <w:pStyle w:val="Heading3"/>
      </w:pPr>
      <w:r>
        <w:t>9.3 Contribuția la Fondul pentru Mediu</w:t>
      </w:r>
    </w:p>
    <w:p>
      <w:pPr>
        <w:jc w:val="both"/>
      </w:pPr>
      <w:r>
        <w:t xml:space="preserve">⚠️ </w:t>
      </w:r>
      <w:r>
        <w:rPr>
          <w:b/>
        </w:rPr>
        <w:t>Corecție importantă de fond.</w:t>
      </w:r>
      <w:r>
        <w:t xml:space="preserve"> Notița spune „</w:t>
      </w:r>
      <w:r>
        <w:rPr>
          <w:i/>
        </w:rPr>
        <w:t>2 lei/kg pentru cantitățile de ambalaje</w:t>
      </w:r>
      <w:r>
        <w:t xml:space="preserve">". Nu se plătesc 2 lei pe fiecare kilogram introdus pe piață. Contribuția de </w:t>
      </w:r>
      <w:r>
        <w:rPr>
          <w:b/>
        </w:rPr>
        <w:t>2 lei/kg</w:t>
      </w:r>
      <w:r>
        <w:t xml:space="preserve"> se datorează </w:t>
      </w:r>
      <w:r>
        <w:rPr>
          <w:b/>
        </w:rPr>
        <w:t>doar pentru diferența</w:t>
      </w:r>
      <w:r>
        <w:t xml:space="preserve"> dintre:</w:t>
      </w:r>
    </w:p>
    <w:p>
      <w:pPr>
        <w:pStyle w:val="ListBullet"/>
      </w:pPr>
      <w:r>
        <w:t xml:space="preserve">cantitatea de deșeuri corespunzătoare </w:t>
      </w:r>
      <w:r>
        <w:rPr>
          <w:b/>
        </w:rPr>
        <w:t>obiectivului minim de reciclare/valorificare</w:t>
      </w:r>
      <w:r>
        <w:t>, și</w:t>
      </w:r>
    </w:p>
    <w:p>
      <w:pPr>
        <w:pStyle w:val="ListBullet"/>
      </w:pPr>
      <w:r>
        <w:t>cantitatea efectiv reciclată/valorificată.</w:t>
      </w:r>
    </w:p>
    <w:p>
      <w:pPr>
        <w:jc w:val="both"/>
      </w:pPr>
      <w:r>
        <w:t xml:space="preserve">Dacă îți atingi obiectivul, contribuția este </w:t>
      </w:r>
      <w:r>
        <w:rPr>
          <w:b/>
        </w:rPr>
        <w:t>zero</w:t>
      </w:r>
      <w:r>
        <w:t>.</w:t>
      </w:r>
    </w:p>
    <w:p>
      <w:pPr>
        <w:jc w:val="both"/>
      </w:pPr>
      <w:r>
        <w:rPr>
          <w:b/>
        </w:rPr>
        <w:t>Două variante de conformare:</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Variantă</w:t>
            </w:r>
          </w:p>
        </w:tc>
        <w:tc>
          <w:tcPr>
            <w:tcW w:type="dxa" w:w="4320"/>
          </w:tcPr>
          <w:p>
            <w:pPr>
              <w:spacing w:after="40"/>
            </w:pPr>
            <w:r>
              <w:rPr>
                <w:b/>
                <w:sz w:val="18"/>
              </w:rPr>
            </w:r>
            <w:r>
              <w:rPr>
                <w:b/>
                <w:sz w:val="18"/>
              </w:rPr>
              <w:t>Cum funcționează</w:t>
            </w:r>
          </w:p>
        </w:tc>
      </w:tr>
      <w:tr>
        <w:tc>
          <w:tcPr>
            <w:tcW w:type="dxa" w:w="4320"/>
          </w:tcPr>
          <w:p>
            <w:pPr>
              <w:spacing w:after="40"/>
            </w:pPr>
            <w:r>
              <w:rPr>
                <w:sz w:val="18"/>
              </w:rPr>
            </w:r>
            <w:r>
              <w:rPr>
                <w:b/>
                <w:sz w:val="18"/>
              </w:rPr>
              <w:t>Individual</w:t>
            </w:r>
          </w:p>
        </w:tc>
        <w:tc>
          <w:tcPr>
            <w:tcW w:type="dxa" w:w="4320"/>
          </w:tcPr>
          <w:p>
            <w:pPr>
              <w:spacing w:after="40"/>
            </w:pPr>
            <w:r>
              <w:rPr>
                <w:sz w:val="18"/>
              </w:rPr>
            </w:r>
            <w:r>
              <w:rPr>
                <w:sz w:val="18"/>
              </w:rPr>
              <w:t>îndeplinești singur obiectivele, raportezi și plătești diferența la AFM</w:t>
            </w:r>
          </w:p>
        </w:tc>
      </w:tr>
      <w:tr>
        <w:tc>
          <w:tcPr>
            <w:tcW w:type="dxa" w:w="4320"/>
          </w:tcPr>
          <w:p>
            <w:pPr>
              <w:spacing w:after="40"/>
            </w:pPr>
            <w:r>
              <w:rPr>
                <w:sz w:val="18"/>
              </w:rPr>
            </w:r>
            <w:r>
              <w:rPr>
                <w:b/>
                <w:sz w:val="18"/>
              </w:rPr>
              <w:t>Prin OIREP/OTR</w:t>
            </w:r>
          </w:p>
        </w:tc>
        <w:tc>
          <w:tcPr>
            <w:tcW w:type="dxa" w:w="4320"/>
          </w:tcPr>
          <w:p>
            <w:pPr>
              <w:spacing w:after="40"/>
            </w:pPr>
            <w:r>
              <w:rPr>
                <w:sz w:val="18"/>
              </w:rPr>
            </w:r>
            <w:r>
              <w:rPr>
                <w:sz w:val="18"/>
              </w:rPr>
              <w:t>transferi responsabilitatea unei organizații autorizate, plătești tarif lunar, ea îți furnizează raportul de reciclare</w:t>
            </w:r>
          </w:p>
        </w:tc>
      </w:tr>
    </w:tbl>
    <w:p/>
    <w:p>
      <w:pPr>
        <w:jc w:val="both"/>
      </w:pPr>
      <w:r>
        <w:t>A doua e varianta uzuală și de regulă mai ieftină.</w:t>
      </w:r>
    </w:p>
    <w:p>
      <w:pPr>
        <w:jc w:val="both"/>
      </w:pPr>
      <w:r>
        <w:rPr>
          <w:b/>
        </w:rPr>
        <w:t>Declarația privind obligațiile la Fondul pentru mediu</w:t>
      </w:r>
      <w:r>
        <w:t xml:space="preserve"> se depune la AFM (evidența ambalajelor se ține lunar; raportarea/plata urmează calendarul AFM în vigoare — </w:t>
      </w:r>
      <w:r>
        <w:rPr>
          <w:b/>
        </w:rPr>
        <w:t>verifică termenul curent pe afm.ro</w:t>
      </w:r>
      <w:r>
        <w:t>, s-a modificat de mai multe ori).</w:t>
      </w:r>
    </w:p>
    <w:p>
      <w:pPr>
        <w:jc w:val="both"/>
      </w:pPr>
      <w:r>
        <w:rPr>
          <w:b/>
        </w:rPr>
        <w:t>Înregistrare când găsești o plată către AFM în extras:</w:t>
      </w:r>
    </w:p>
    <w:p>
      <w:pPr>
        <w:ind w:left="280"/>
      </w:pPr>
      <w:r>
        <w:rPr>
          <w:rFonts w:ascii="Consolas" w:hAnsi="Consolas"/>
          <w:sz w:val="18"/>
        </w:rPr>
        <w:t>652         =  5121</w:t>
      </w:r>
    </w:p>
    <w:p>
      <w:pPr>
        <w:jc w:val="both"/>
      </w:pPr>
      <w:r>
        <w:t xml:space="preserve">⚠️ Dar nu o înregistrezi mecanic. </w:t>
      </w:r>
      <w:r>
        <w:rPr>
          <w:b/>
        </w:rPr>
        <w:t>Întrebi întâi: pentru ce s-a plătit?</w:t>
      </w:r>
      <w:r>
        <w:t xml:space="preserve"> Ambalaje? Ecotaxă pentru pungi? Anvelope? EEE? Fiecare are declarație și evidență proprie. O plată către AFM înseamnă că există o obligație declarativă în spate — și de multe ori clientul nu știe că o are.</w:t>
      </w:r>
    </w:p>
    <w:p>
      <w:pPr>
        <w:pStyle w:val="Heading3"/>
      </w:pPr>
      <w:r>
        <w:t>9.4 Beculețul care trebuie să se aprindă</w:t>
      </w:r>
    </w:p>
    <w:p>
      <w:pPr>
        <w:jc w:val="both"/>
      </w:pPr>
      <w:r>
        <w:t>✅ Cea mai utilă observație practică din notițe, formalizată:</w:t>
      </w:r>
    </w:p>
    <w:p>
      <w:pPr>
        <w:ind w:left="360"/>
      </w:pPr>
      <w:r>
        <w:rPr>
          <w:b/>
          <w:i/>
          <w:color w:val="5D6E7E"/>
        </w:rPr>
        <w:t>Ai o tranzacție intracomunitară sau un import? Uită-te pe CMR / factură la diferența dintre greutatea netă și cea brută. Diferența = ambalaj introdus pe piața din România = posibilă obligație la AFM.</w:t>
      </w:r>
    </w:p>
    <w:p>
      <w:pPr>
        <w:jc w:val="both"/>
      </w:pPr>
      <w:r>
        <w:t>Exemplul din notițe: firmă care aduce PAL și MDF din Austria — a ajuns să plătească pentru paleții aduși pe teritoriul României. Controalele în vamă sunt frecvente exact pentru că autoritatea are informația brut/net direct pe documentele de transport.</w:t>
      </w:r>
    </w:p>
    <w:p>
      <w:pPr>
        <w:jc w:val="both"/>
      </w:pPr>
      <w:r>
        <w:t xml:space="preserve">➕ </w:t>
      </w:r>
      <w:r>
        <w:rPr>
          <w:b/>
        </w:rPr>
        <w:t>Trei întrebări de pus clientului la deschiderea dosarului:</w:t>
      </w:r>
    </w:p>
    <w:p>
      <w:pPr>
        <w:pStyle w:val="ListNumber"/>
      </w:pPr>
      <w:r>
        <w:t>Aveți contract cu un OIREP pentru transferul responsabilității?</w:t>
      </w:r>
    </w:p>
    <w:p>
      <w:pPr>
        <w:pStyle w:val="ListNumber"/>
      </w:pPr>
      <w:r>
        <w:t>Cine ține evidența ambalajelor introduse pe piață, pe tip de material?</w:t>
      </w:r>
    </w:p>
    <w:p>
      <w:pPr>
        <w:pStyle w:val="ListNumber"/>
      </w:pPr>
      <w:r>
        <w:t>Cine depune declarația la AFM și de când?</w:t>
      </w:r>
    </w:p>
    <w:p>
      <w:pPr>
        <w:spacing w:before="40" w:after="160"/>
        <w:pBdr>
          <w:bottom w:val="single" w:sz="6" w:color="DBE3EA"/>
        </w:pBdr>
      </w:pPr>
    </w:p>
    <w:p>
      <w:pPr>
        <w:pStyle w:val="Heading2"/>
      </w:pPr>
      <w:r>
        <w:t>10. Atitudinea profesională — nu e o notă filozofică</w:t>
      </w:r>
    </w:p>
    <w:p>
      <w:pPr>
        <w:jc w:val="both"/>
      </w:pPr>
      <w:r>
        <w:t>⚠️ Abordarea „</w:t>
      </w:r>
      <w:r>
        <w:rPr>
          <w:i/>
        </w:rPr>
        <w:t>nu mă interesează mediul / statistica / resursele umane</w:t>
      </w:r>
      <w:r>
        <w:t>" este descurajată explicit — și are un motiv practic, nu moral.</w:t>
      </w:r>
    </w:p>
    <w:p>
      <w:pPr>
        <w:jc w:val="both"/>
      </w:pPr>
      <w:r>
        <w:rPr>
          <w:b/>
        </w:rPr>
        <w:t>Motivul:</w:t>
      </w:r>
      <w:r>
        <w:t xml:space="preserve"> clientul nu are cum să știe ce nu știe. Ai la dispoziție, în munca ta zilnică, informația care declanșează obligația:</w:t>
      </w:r>
    </w:p>
    <w:p>
      <w:pPr>
        <w:pStyle w:val="ListBullet"/>
      </w:pPr>
      <w:r>
        <w:t>vezi CMR-ul → știi că are ambalaje de declarat;</w:t>
      </w:r>
    </w:p>
    <w:p>
      <w:pPr>
        <w:pStyle w:val="ListBullet"/>
      </w:pPr>
      <w:r>
        <w:t>vezi extrasul → știi că a plătit la AFM;</w:t>
      </w:r>
    </w:p>
    <w:p>
      <w:pPr>
        <w:pStyle w:val="ListBullet"/>
      </w:pPr>
      <w:r>
        <w:t>vezi factura de import → știi că are taxe vamale de inclus în cost.</w:t>
      </w:r>
    </w:p>
    <w:p>
      <w:pPr>
        <w:jc w:val="both"/>
      </w:pPr>
      <w:r>
        <w:rPr>
          <w:b/>
        </w:rPr>
        <w:t>Cine altcineva are toate aceste informații într-un singur loc? Nimeni.</w:t>
      </w:r>
    </w:p>
    <w:p>
      <w:pPr>
        <w:jc w:val="both"/>
      </w:pPr>
      <w:r>
        <w:t xml:space="preserve">Reacția clasică a clientului la o amendă este </w:t>
      </w:r>
      <w:r>
        <w:rPr>
          <w:i/>
        </w:rPr>
        <w:t>„nu mi-a spus contabilul"</w:t>
      </w:r>
      <w:r>
        <w:t>. Fie că e drept sau nu, asta e percepția — iar bariera pe care o ridici („nu e treaba mea") nu te protejează, ci doar amână discuția.</w:t>
      </w:r>
    </w:p>
    <w:p>
      <w:pPr>
        <w:jc w:val="both"/>
      </w:pPr>
      <w:r>
        <w:rPr>
          <w:b/>
        </w:rPr>
        <w:t>Consecința operațională:</w:t>
      </w:r>
      <w:r>
        <w:t xml:space="preserve"> dacă în cabinet ai informația, transmite-o mai departe — colegilor și clientului. În scris. Un e-mail de trei rânduri care semnalează o obligație valorează mai mult decât orice clauză contractuală.</w:t>
      </w:r>
    </w:p>
    <w:p>
      <w:pPr>
        <w:spacing w:before="40" w:after="160"/>
        <w:pBdr>
          <w:bottom w:val="single" w:sz="6" w:color="DBE3EA"/>
        </w:pBdr>
      </w:pPr>
    </w:p>
    <w:p>
      <w:pPr>
        <w:pStyle w:val="Heading2"/>
      </w:pPr>
      <w:r>
        <w:t>Anexa A — Recapitulare: conturi și perechile lor</w:t>
      </w:r>
    </w:p>
    <w:p>
      <w:pPr>
        <w:pStyle w:val="Heading3"/>
      </w:pPr>
      <w:r>
        <w:t>Stocuri și cheltuieli</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Stoc</w:t>
            </w:r>
          </w:p>
        </w:tc>
        <w:tc>
          <w:tcPr>
            <w:tcW w:type="dxa" w:w="2880"/>
          </w:tcPr>
          <w:p>
            <w:pPr>
              <w:spacing w:after="40"/>
            </w:pPr>
            <w:r>
              <w:rPr>
                <w:b/>
                <w:sz w:val="18"/>
              </w:rPr>
            </w:r>
            <w:r>
              <w:rPr>
                <w:b/>
                <w:sz w:val="18"/>
              </w:rPr>
              <w:t>Cheltuială</w:t>
            </w:r>
          </w:p>
        </w:tc>
        <w:tc>
          <w:tcPr>
            <w:tcW w:type="dxa" w:w="2880"/>
          </w:tcPr>
          <w:p>
            <w:pPr>
              <w:spacing w:after="40"/>
            </w:pPr>
            <w:r>
              <w:rPr>
                <w:b/>
                <w:sz w:val="18"/>
              </w:rPr>
            </w:r>
            <w:r>
              <w:rPr>
                <w:b/>
                <w:sz w:val="18"/>
              </w:rPr>
              <w:t>Observație</w:t>
            </w:r>
          </w:p>
        </w:tc>
      </w:tr>
      <w:tr>
        <w:tc>
          <w:tcPr>
            <w:tcW w:type="dxa" w:w="2880"/>
          </w:tcPr>
          <w:p>
            <w:pPr>
              <w:spacing w:after="40"/>
            </w:pPr>
            <w:r>
              <w:rPr>
                <w:sz w:val="18"/>
              </w:rPr>
            </w:r>
            <w:r>
              <w:rPr>
                <w:sz w:val="18"/>
              </w:rPr>
              <w:t>301 Materii prime</w:t>
            </w:r>
          </w:p>
        </w:tc>
        <w:tc>
          <w:tcPr>
            <w:tcW w:type="dxa" w:w="2880"/>
          </w:tcPr>
          <w:p>
            <w:pPr>
              <w:spacing w:after="40"/>
            </w:pPr>
            <w:r>
              <w:rPr>
                <w:sz w:val="18"/>
              </w:rPr>
            </w:r>
            <w:r>
              <w:rPr>
                <w:sz w:val="18"/>
              </w:rPr>
              <w:t>601</w:t>
            </w:r>
          </w:p>
        </w:tc>
        <w:tc>
          <w:tcPr>
            <w:tcW w:type="dxa" w:w="2880"/>
          </w:tcPr>
          <w:p>
            <w:pPr>
              <w:spacing w:after="40"/>
            </w:pPr>
            <w:r>
              <w:rPr>
                <w:sz w:val="18"/>
              </w:rPr>
            </w:r>
            <w:r>
              <w:rPr>
                <w:sz w:val="18"/>
              </w:rPr>
              <w:t>producție</w:t>
            </w:r>
          </w:p>
        </w:tc>
      </w:tr>
      <w:tr>
        <w:tc>
          <w:tcPr>
            <w:tcW w:type="dxa" w:w="2880"/>
          </w:tcPr>
          <w:p>
            <w:pPr>
              <w:spacing w:after="40"/>
            </w:pPr>
            <w:r>
              <w:rPr>
                <w:sz w:val="18"/>
              </w:rPr>
            </w:r>
            <w:r>
              <w:rPr>
                <w:sz w:val="18"/>
              </w:rPr>
              <w:t>3021 Materiale auxiliare</w:t>
            </w:r>
          </w:p>
        </w:tc>
        <w:tc>
          <w:tcPr>
            <w:tcW w:type="dxa" w:w="2880"/>
          </w:tcPr>
          <w:p>
            <w:pPr>
              <w:spacing w:after="40"/>
            </w:pPr>
            <w:r>
              <w:rPr>
                <w:sz w:val="18"/>
              </w:rPr>
            </w:r>
            <w:r>
              <w:rPr>
                <w:sz w:val="18"/>
              </w:rPr>
              <w:t>6021</w:t>
            </w:r>
          </w:p>
        </w:tc>
        <w:tc>
          <w:tcPr>
            <w:tcW w:type="dxa" w:w="2880"/>
          </w:tcPr>
          <w:p>
            <w:pPr>
              <w:spacing w:after="40"/>
            </w:pPr>
            <w:r>
              <w:rPr>
                <w:sz w:val="18"/>
              </w:rPr>
            </w:r>
          </w:p>
        </w:tc>
      </w:tr>
      <w:tr>
        <w:tc>
          <w:tcPr>
            <w:tcW w:type="dxa" w:w="2880"/>
          </w:tcPr>
          <w:p>
            <w:pPr>
              <w:spacing w:after="40"/>
            </w:pPr>
            <w:r>
              <w:rPr>
                <w:sz w:val="18"/>
              </w:rPr>
            </w:r>
            <w:r>
              <w:rPr>
                <w:sz w:val="18"/>
              </w:rPr>
              <w:t>3022 Combustibili</w:t>
            </w:r>
          </w:p>
        </w:tc>
        <w:tc>
          <w:tcPr>
            <w:tcW w:type="dxa" w:w="2880"/>
          </w:tcPr>
          <w:p>
            <w:pPr>
              <w:spacing w:after="40"/>
            </w:pPr>
            <w:r>
              <w:rPr>
                <w:sz w:val="18"/>
              </w:rPr>
            </w:r>
            <w:r>
              <w:rPr>
                <w:sz w:val="18"/>
              </w:rPr>
              <w:t>6022</w:t>
            </w:r>
          </w:p>
        </w:tc>
        <w:tc>
          <w:tcPr>
            <w:tcW w:type="dxa" w:w="2880"/>
          </w:tcPr>
          <w:p>
            <w:pPr>
              <w:spacing w:after="40"/>
            </w:pPr>
            <w:r>
              <w:rPr>
                <w:sz w:val="18"/>
              </w:rPr>
            </w:r>
          </w:p>
        </w:tc>
      </w:tr>
      <w:tr>
        <w:tc>
          <w:tcPr>
            <w:tcW w:type="dxa" w:w="2880"/>
          </w:tcPr>
          <w:p>
            <w:pPr>
              <w:spacing w:after="40"/>
            </w:pPr>
            <w:r>
              <w:rPr>
                <w:sz w:val="18"/>
              </w:rPr>
            </w:r>
            <w:r>
              <w:rPr>
                <w:sz w:val="18"/>
              </w:rPr>
              <w:t>3023 Materiale pentru ambalat</w:t>
            </w:r>
          </w:p>
        </w:tc>
        <w:tc>
          <w:tcPr>
            <w:tcW w:type="dxa" w:w="2880"/>
          </w:tcPr>
          <w:p>
            <w:pPr>
              <w:spacing w:after="40"/>
            </w:pPr>
            <w:r>
              <w:rPr>
                <w:sz w:val="18"/>
              </w:rPr>
            </w:r>
            <w:r>
              <w:rPr>
                <w:sz w:val="18"/>
              </w:rPr>
              <w:t>6023</w:t>
            </w:r>
          </w:p>
        </w:tc>
        <w:tc>
          <w:tcPr>
            <w:tcW w:type="dxa" w:w="2880"/>
          </w:tcPr>
          <w:p>
            <w:pPr>
              <w:spacing w:after="40"/>
            </w:pPr>
            <w:r>
              <w:rPr>
                <w:sz w:val="18"/>
              </w:rPr>
            </w:r>
          </w:p>
        </w:tc>
      </w:tr>
      <w:tr>
        <w:tc>
          <w:tcPr>
            <w:tcW w:type="dxa" w:w="2880"/>
          </w:tcPr>
          <w:p>
            <w:pPr>
              <w:spacing w:after="40"/>
            </w:pPr>
            <w:r>
              <w:rPr>
                <w:sz w:val="18"/>
              </w:rPr>
            </w:r>
            <w:r>
              <w:rPr>
                <w:sz w:val="18"/>
              </w:rPr>
              <w:t>3024 Piese de schimb</w:t>
            </w:r>
          </w:p>
        </w:tc>
        <w:tc>
          <w:tcPr>
            <w:tcW w:type="dxa" w:w="2880"/>
          </w:tcPr>
          <w:p>
            <w:pPr>
              <w:spacing w:after="40"/>
            </w:pPr>
            <w:r>
              <w:rPr>
                <w:sz w:val="18"/>
              </w:rPr>
            </w:r>
            <w:r>
              <w:rPr>
                <w:sz w:val="18"/>
              </w:rPr>
              <w:t>6024</w:t>
            </w:r>
          </w:p>
        </w:tc>
        <w:tc>
          <w:tcPr>
            <w:tcW w:type="dxa" w:w="2880"/>
          </w:tcPr>
          <w:p>
            <w:pPr>
              <w:spacing w:after="40"/>
            </w:pPr>
            <w:r>
              <w:rPr>
                <w:sz w:val="18"/>
              </w:rPr>
            </w:r>
            <w:r>
              <w:rPr>
                <w:sz w:val="18"/>
              </w:rPr>
              <w:t>poate fi transferat în 371 dacă se revinde</w:t>
            </w:r>
          </w:p>
        </w:tc>
      </w:tr>
      <w:tr>
        <w:tc>
          <w:tcPr>
            <w:tcW w:type="dxa" w:w="2880"/>
          </w:tcPr>
          <w:p>
            <w:pPr>
              <w:spacing w:after="40"/>
            </w:pPr>
            <w:r>
              <w:rPr>
                <w:sz w:val="18"/>
              </w:rPr>
            </w:r>
            <w:r>
              <w:rPr>
                <w:sz w:val="18"/>
              </w:rPr>
              <w:t>3028 Alte materiale consumabile</w:t>
            </w:r>
          </w:p>
        </w:tc>
        <w:tc>
          <w:tcPr>
            <w:tcW w:type="dxa" w:w="2880"/>
          </w:tcPr>
          <w:p>
            <w:pPr>
              <w:spacing w:after="40"/>
            </w:pPr>
            <w:r>
              <w:rPr>
                <w:sz w:val="18"/>
              </w:rPr>
            </w:r>
            <w:r>
              <w:rPr>
                <w:sz w:val="18"/>
              </w:rPr>
              <w:t>6028</w:t>
            </w:r>
          </w:p>
        </w:tc>
        <w:tc>
          <w:tcPr>
            <w:tcW w:type="dxa" w:w="2880"/>
          </w:tcPr>
          <w:p>
            <w:pPr>
              <w:spacing w:after="40"/>
            </w:pPr>
            <w:r>
              <w:rPr>
                <w:sz w:val="18"/>
              </w:rPr>
            </w:r>
          </w:p>
        </w:tc>
      </w:tr>
      <w:tr>
        <w:tc>
          <w:tcPr>
            <w:tcW w:type="dxa" w:w="2880"/>
          </w:tcPr>
          <w:p>
            <w:pPr>
              <w:spacing w:after="40"/>
            </w:pPr>
            <w:r>
              <w:rPr>
                <w:sz w:val="18"/>
              </w:rPr>
            </w:r>
            <w:r>
              <w:rPr>
                <w:sz w:val="18"/>
              </w:rPr>
              <w:t>303 Obiecte de inventar</w:t>
            </w:r>
          </w:p>
        </w:tc>
        <w:tc>
          <w:tcPr>
            <w:tcW w:type="dxa" w:w="2880"/>
          </w:tcPr>
          <w:p>
            <w:pPr>
              <w:spacing w:after="40"/>
            </w:pPr>
            <w:r>
              <w:rPr>
                <w:sz w:val="18"/>
              </w:rPr>
            </w:r>
            <w:r>
              <w:rPr>
                <w:sz w:val="18"/>
              </w:rPr>
              <w:t>603</w:t>
            </w:r>
          </w:p>
        </w:tc>
        <w:tc>
          <w:tcPr>
            <w:tcW w:type="dxa" w:w="2880"/>
          </w:tcPr>
          <w:p>
            <w:pPr>
              <w:spacing w:after="40"/>
            </w:pPr>
            <w:r>
              <w:rPr>
                <w:sz w:val="18"/>
              </w:rPr>
            </w:r>
            <w:r>
              <w:rPr>
                <w:b/>
                <w:sz w:val="18"/>
              </w:rPr>
              <w:t>+ Debit 8035 simultan</w:t>
            </w:r>
          </w:p>
        </w:tc>
      </w:tr>
      <w:tr>
        <w:tc>
          <w:tcPr>
            <w:tcW w:type="dxa" w:w="2880"/>
          </w:tcPr>
          <w:p>
            <w:pPr>
              <w:spacing w:after="40"/>
            </w:pPr>
            <w:r>
              <w:rPr>
                <w:sz w:val="18"/>
              </w:rPr>
            </w:r>
            <w:r>
              <w:rPr>
                <w:sz w:val="18"/>
              </w:rPr>
              <w:t>371 Mărfuri</w:t>
            </w:r>
          </w:p>
        </w:tc>
        <w:tc>
          <w:tcPr>
            <w:tcW w:type="dxa" w:w="2880"/>
          </w:tcPr>
          <w:p>
            <w:pPr>
              <w:spacing w:after="40"/>
            </w:pPr>
            <w:r>
              <w:rPr>
                <w:sz w:val="18"/>
              </w:rPr>
            </w:r>
            <w:r>
              <w:rPr>
                <w:sz w:val="18"/>
              </w:rPr>
              <w:t>607</w:t>
            </w:r>
          </w:p>
        </w:tc>
        <w:tc>
          <w:tcPr>
            <w:tcW w:type="dxa" w:w="2880"/>
          </w:tcPr>
          <w:p>
            <w:pPr>
              <w:spacing w:after="40"/>
            </w:pPr>
            <w:r>
              <w:rPr>
                <w:sz w:val="18"/>
              </w:rPr>
            </w:r>
          </w:p>
        </w:tc>
      </w:tr>
      <w:tr>
        <w:tc>
          <w:tcPr>
            <w:tcW w:type="dxa" w:w="2880"/>
          </w:tcPr>
          <w:p>
            <w:pPr>
              <w:spacing w:after="40"/>
            </w:pPr>
            <w:r>
              <w:rPr>
                <w:sz w:val="18"/>
              </w:rPr>
            </w:r>
            <w:r>
              <w:rPr>
                <w:sz w:val="18"/>
              </w:rPr>
              <w:t>381 Ambalaje</w:t>
            </w:r>
          </w:p>
        </w:tc>
        <w:tc>
          <w:tcPr>
            <w:tcW w:type="dxa" w:w="2880"/>
          </w:tcPr>
          <w:p>
            <w:pPr>
              <w:spacing w:after="40"/>
            </w:pPr>
            <w:r>
              <w:rPr>
                <w:sz w:val="18"/>
              </w:rPr>
            </w:r>
            <w:r>
              <w:rPr>
                <w:sz w:val="18"/>
              </w:rPr>
              <w:t>608</w:t>
            </w:r>
          </w:p>
        </w:tc>
        <w:tc>
          <w:tcPr>
            <w:tcW w:type="dxa" w:w="2880"/>
          </w:tcPr>
          <w:p>
            <w:pPr>
              <w:spacing w:after="40"/>
            </w:pPr>
            <w:r>
              <w:rPr>
                <w:sz w:val="18"/>
              </w:rPr>
            </w:r>
          </w:p>
        </w:tc>
      </w:tr>
    </w:tbl>
    <w:p/>
    <w:p>
      <w:pPr>
        <w:pStyle w:val="Heading3"/>
      </w:pPr>
      <w:r>
        <w:t>Producție și venituri</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Stoc produs</w:t>
            </w:r>
          </w:p>
        </w:tc>
        <w:tc>
          <w:tcPr>
            <w:tcW w:type="dxa" w:w="2880"/>
          </w:tcPr>
          <w:p>
            <w:pPr>
              <w:spacing w:after="40"/>
            </w:pPr>
            <w:r>
              <w:rPr>
                <w:b/>
                <w:sz w:val="18"/>
              </w:rPr>
            </w:r>
            <w:r>
              <w:rPr>
                <w:b/>
                <w:sz w:val="18"/>
              </w:rPr>
              <w:t>Venit variație</w:t>
            </w:r>
          </w:p>
        </w:tc>
        <w:tc>
          <w:tcPr>
            <w:tcW w:type="dxa" w:w="2880"/>
          </w:tcPr>
          <w:p>
            <w:pPr>
              <w:spacing w:after="40"/>
            </w:pPr>
            <w:r>
              <w:rPr>
                <w:b/>
                <w:sz w:val="18"/>
              </w:rPr>
            </w:r>
            <w:r>
              <w:rPr>
                <w:b/>
                <w:sz w:val="18"/>
              </w:rPr>
              <w:t>Venit vânzare</w:t>
            </w:r>
          </w:p>
        </w:tc>
      </w:tr>
      <w:tr>
        <w:tc>
          <w:tcPr>
            <w:tcW w:type="dxa" w:w="2880"/>
          </w:tcPr>
          <w:p>
            <w:pPr>
              <w:spacing w:after="40"/>
            </w:pPr>
            <w:r>
              <w:rPr>
                <w:sz w:val="18"/>
              </w:rPr>
            </w:r>
            <w:r>
              <w:rPr>
                <w:sz w:val="18"/>
              </w:rPr>
              <w:t>331 Produse în curs</w:t>
            </w:r>
          </w:p>
        </w:tc>
        <w:tc>
          <w:tcPr>
            <w:tcW w:type="dxa" w:w="2880"/>
          </w:tcPr>
          <w:p>
            <w:pPr>
              <w:spacing w:after="40"/>
            </w:pPr>
            <w:r>
              <w:rPr>
                <w:sz w:val="18"/>
              </w:rPr>
            </w:r>
            <w:r>
              <w:rPr>
                <w:sz w:val="18"/>
              </w:rPr>
              <w:t>711</w:t>
            </w:r>
          </w:p>
        </w:tc>
        <w:tc>
          <w:tcPr>
            <w:tcW w:type="dxa" w:w="2880"/>
          </w:tcPr>
          <w:p>
            <w:pPr>
              <w:spacing w:after="40"/>
            </w:pPr>
            <w:r>
              <w:rPr>
                <w:sz w:val="18"/>
              </w:rPr>
            </w:r>
            <w:r>
              <w:rPr>
                <w:sz w:val="18"/>
              </w:rPr>
              <w:t>—</w:t>
            </w:r>
          </w:p>
        </w:tc>
      </w:tr>
      <w:tr>
        <w:tc>
          <w:tcPr>
            <w:tcW w:type="dxa" w:w="2880"/>
          </w:tcPr>
          <w:p>
            <w:pPr>
              <w:spacing w:after="40"/>
            </w:pPr>
            <w:r>
              <w:rPr>
                <w:sz w:val="18"/>
              </w:rPr>
            </w:r>
            <w:r>
              <w:rPr>
                <w:sz w:val="18"/>
              </w:rPr>
              <w:t>332 Servicii în curs</w:t>
            </w:r>
          </w:p>
        </w:tc>
        <w:tc>
          <w:tcPr>
            <w:tcW w:type="dxa" w:w="2880"/>
          </w:tcPr>
          <w:p>
            <w:pPr>
              <w:spacing w:after="40"/>
            </w:pPr>
            <w:r>
              <w:rPr>
                <w:sz w:val="18"/>
              </w:rPr>
            </w:r>
            <w:r>
              <w:rPr>
                <w:sz w:val="18"/>
              </w:rPr>
              <w:t>712</w:t>
            </w:r>
          </w:p>
        </w:tc>
        <w:tc>
          <w:tcPr>
            <w:tcW w:type="dxa" w:w="2880"/>
          </w:tcPr>
          <w:p>
            <w:pPr>
              <w:spacing w:after="40"/>
            </w:pPr>
            <w:r>
              <w:rPr>
                <w:sz w:val="18"/>
              </w:rPr>
            </w:r>
            <w:r>
              <w:rPr>
                <w:sz w:val="18"/>
              </w:rPr>
              <w:t>—</w:t>
            </w:r>
          </w:p>
        </w:tc>
      </w:tr>
      <w:tr>
        <w:tc>
          <w:tcPr>
            <w:tcW w:type="dxa" w:w="2880"/>
          </w:tcPr>
          <w:p>
            <w:pPr>
              <w:spacing w:after="40"/>
            </w:pPr>
            <w:r>
              <w:rPr>
                <w:sz w:val="18"/>
              </w:rPr>
            </w:r>
            <w:r>
              <w:rPr>
                <w:sz w:val="18"/>
              </w:rPr>
              <w:t>341 Semifabricate</w:t>
            </w:r>
          </w:p>
        </w:tc>
        <w:tc>
          <w:tcPr>
            <w:tcW w:type="dxa" w:w="2880"/>
          </w:tcPr>
          <w:p>
            <w:pPr>
              <w:spacing w:after="40"/>
            </w:pPr>
            <w:r>
              <w:rPr>
                <w:sz w:val="18"/>
              </w:rPr>
            </w:r>
            <w:r>
              <w:rPr>
                <w:sz w:val="18"/>
              </w:rPr>
              <w:t>711</w:t>
            </w:r>
          </w:p>
        </w:tc>
        <w:tc>
          <w:tcPr>
            <w:tcW w:type="dxa" w:w="2880"/>
          </w:tcPr>
          <w:p>
            <w:pPr>
              <w:spacing w:after="40"/>
            </w:pPr>
            <w:r>
              <w:rPr>
                <w:sz w:val="18"/>
              </w:rPr>
            </w:r>
            <w:r>
              <w:rPr>
                <w:sz w:val="18"/>
              </w:rPr>
              <w:t>702</w:t>
            </w:r>
          </w:p>
        </w:tc>
      </w:tr>
      <w:tr>
        <w:tc>
          <w:tcPr>
            <w:tcW w:type="dxa" w:w="2880"/>
          </w:tcPr>
          <w:p>
            <w:pPr>
              <w:spacing w:after="40"/>
            </w:pPr>
            <w:r>
              <w:rPr>
                <w:sz w:val="18"/>
              </w:rPr>
            </w:r>
            <w:r>
              <w:rPr>
                <w:sz w:val="18"/>
              </w:rPr>
              <w:t>345 Produse finite</w:t>
            </w:r>
          </w:p>
        </w:tc>
        <w:tc>
          <w:tcPr>
            <w:tcW w:type="dxa" w:w="2880"/>
          </w:tcPr>
          <w:p>
            <w:pPr>
              <w:spacing w:after="40"/>
            </w:pPr>
            <w:r>
              <w:rPr>
                <w:sz w:val="18"/>
              </w:rPr>
            </w:r>
            <w:r>
              <w:rPr>
                <w:sz w:val="18"/>
              </w:rPr>
              <w:t>711</w:t>
            </w:r>
          </w:p>
        </w:tc>
        <w:tc>
          <w:tcPr>
            <w:tcW w:type="dxa" w:w="2880"/>
          </w:tcPr>
          <w:p>
            <w:pPr>
              <w:spacing w:after="40"/>
            </w:pPr>
            <w:r>
              <w:rPr>
                <w:sz w:val="18"/>
              </w:rPr>
            </w:r>
            <w:r>
              <w:rPr>
                <w:b/>
                <w:sz w:val="18"/>
              </w:rPr>
              <w:t>7015</w:t>
            </w:r>
          </w:p>
        </w:tc>
      </w:tr>
      <w:tr>
        <w:tc>
          <w:tcPr>
            <w:tcW w:type="dxa" w:w="2880"/>
          </w:tcPr>
          <w:p>
            <w:pPr>
              <w:spacing w:after="40"/>
            </w:pPr>
            <w:r>
              <w:rPr>
                <w:sz w:val="18"/>
              </w:rPr>
            </w:r>
            <w:r>
              <w:rPr>
                <w:sz w:val="18"/>
              </w:rPr>
              <w:t>346 Produse reziduale</w:t>
            </w:r>
          </w:p>
        </w:tc>
        <w:tc>
          <w:tcPr>
            <w:tcW w:type="dxa" w:w="2880"/>
          </w:tcPr>
          <w:p>
            <w:pPr>
              <w:spacing w:after="40"/>
            </w:pPr>
            <w:r>
              <w:rPr>
                <w:sz w:val="18"/>
              </w:rPr>
            </w:r>
            <w:r>
              <w:rPr>
                <w:sz w:val="18"/>
              </w:rPr>
              <w:t>711</w:t>
            </w:r>
          </w:p>
        </w:tc>
        <w:tc>
          <w:tcPr>
            <w:tcW w:type="dxa" w:w="2880"/>
          </w:tcPr>
          <w:p>
            <w:pPr>
              <w:spacing w:after="40"/>
            </w:pPr>
            <w:r>
              <w:rPr>
                <w:sz w:val="18"/>
              </w:rPr>
            </w:r>
            <w:r>
              <w:rPr>
                <w:sz w:val="18"/>
              </w:rPr>
              <w:t>703</w:t>
            </w:r>
          </w:p>
        </w:tc>
      </w:tr>
      <w:tr>
        <w:tc>
          <w:tcPr>
            <w:tcW w:type="dxa" w:w="2880"/>
          </w:tcPr>
          <w:p>
            <w:pPr>
              <w:spacing w:after="40"/>
            </w:pPr>
            <w:r>
              <w:rPr>
                <w:sz w:val="18"/>
              </w:rPr>
            </w:r>
            <w:r>
              <w:rPr>
                <w:sz w:val="18"/>
              </w:rPr>
              <w:t>347 Produse agricole</w:t>
            </w:r>
          </w:p>
        </w:tc>
        <w:tc>
          <w:tcPr>
            <w:tcW w:type="dxa" w:w="2880"/>
          </w:tcPr>
          <w:p>
            <w:pPr>
              <w:spacing w:after="40"/>
            </w:pPr>
            <w:r>
              <w:rPr>
                <w:sz w:val="18"/>
              </w:rPr>
            </w:r>
            <w:r>
              <w:rPr>
                <w:sz w:val="18"/>
              </w:rPr>
              <w:t>711</w:t>
            </w:r>
          </w:p>
        </w:tc>
        <w:tc>
          <w:tcPr>
            <w:tcW w:type="dxa" w:w="2880"/>
          </w:tcPr>
          <w:p>
            <w:pPr>
              <w:spacing w:after="40"/>
            </w:pPr>
            <w:r>
              <w:rPr>
                <w:sz w:val="18"/>
              </w:rPr>
            </w:r>
            <w:r>
              <w:rPr>
                <w:sz w:val="18"/>
              </w:rPr>
              <w:t>7017</w:t>
            </w:r>
          </w:p>
        </w:tc>
      </w:tr>
    </w:tbl>
    <w:p/>
    <w:p>
      <w:pPr>
        <w:pStyle w:val="Heading3"/>
      </w:pPr>
      <w:r>
        <w:t>În curs de aprovizionare</w:t>
      </w:r>
    </w:p>
    <w:p>
      <w:pPr>
        <w:ind w:left="280"/>
      </w:pPr>
      <w:r>
        <w:rPr>
          <w:rFonts w:ascii="Consolas" w:hAnsi="Consolas"/>
          <w:sz w:val="18"/>
        </w:rPr>
        <w:t>321 → 301      322 → 302      323 → 303</w:t>
        <w:br/>
        <w:t>326 → 361      327 → 371      328 → 381</w:t>
      </w:r>
    </w:p>
    <w:p>
      <w:pPr>
        <w:pStyle w:val="Heading3"/>
      </w:pPr>
      <w:r>
        <w:t>TVA</w:t>
      </w:r>
    </w:p>
    <w:p>
      <w:pPr>
        <w:ind w:left="280"/>
      </w:pPr>
      <w:r>
        <w:rPr>
          <w:rFonts w:ascii="Consolas" w:hAnsi="Consolas"/>
          <w:sz w:val="18"/>
        </w:rPr>
        <w:t>4423  TVA de plată            4426  TVA deductibilă      4428  TVA neexigibilă</w:t>
        <w:br/>
        <w:t>4424  TVA de recuperat        4427  TVA colectată</w:t>
      </w:r>
    </w:p>
    <w:p>
      <w:pPr>
        <w:pStyle w:val="Heading3"/>
      </w:pPr>
      <w:r>
        <w:t>Extrabilanțiere</w:t>
      </w:r>
    </w:p>
    <w:p>
      <w:pPr>
        <w:ind w:left="280"/>
      </w:pPr>
      <w:r>
        <w:rPr>
          <w:rFonts w:ascii="Consolas" w:hAnsi="Consolas"/>
          <w:sz w:val="18"/>
        </w:rPr>
        <w:t>8035  Stocuri de natura obiectelor de inventar date în folosință</w:t>
      </w:r>
    </w:p>
    <w:p>
      <w:pPr>
        <w:spacing w:before="40" w:after="160"/>
        <w:pBdr>
          <w:bottom w:val="single" w:sz="6" w:color="DBE3EA"/>
        </w:pBdr>
      </w:pPr>
    </w:p>
    <w:p>
      <w:pPr>
        <w:pStyle w:val="Heading2"/>
      </w:pPr>
      <w:r>
        <w:t>Anexa B — Checklist practic (de rulat la fiecare client)</w:t>
      </w:r>
    </w:p>
    <w:p>
      <w:pPr>
        <w:jc w:val="both"/>
      </w:pPr>
      <w:r>
        <w:rPr>
          <w:b/>
        </w:rPr>
        <w:t>La deschiderea dosarului</w:t>
      </w:r>
    </w:p>
    <w:p>
      <w:pPr>
        <w:pStyle w:val="ListBullet"/>
      </w:pPr>
      <w:r>
        <w:t>[ ] Metoda de evidență a stocurilor (permanent / intermitent) e stabilită și scrisă în politicile contabile?</w:t>
      </w:r>
    </w:p>
    <w:p>
      <w:pPr>
        <w:pStyle w:val="ListBullet"/>
      </w:pPr>
      <w:r>
        <w:t>[ ] Gestiunile sunt separate pe: cotă de TVA (11 / 21) și tip (en gros / amănuntul)?</w:t>
      </w:r>
    </w:p>
    <w:p>
      <w:pPr>
        <w:pStyle w:val="ListBullet"/>
      </w:pPr>
      <w:r>
        <w:t>[ ] Valoarea de înregistrare în 371 = valoarea din softul de gestiune al clientului? (taxe vamale, transport)</w:t>
      </w:r>
    </w:p>
    <w:p>
      <w:pPr>
        <w:pStyle w:val="ListBullet"/>
      </w:pPr>
      <w:r>
        <w:t>[ ] Clientul are contract cu un OIREP pentru ambalaje? Cine depune declarația la AFM?</w:t>
      </w:r>
    </w:p>
    <w:p>
      <w:pPr>
        <w:pStyle w:val="ListBullet"/>
      </w:pPr>
      <w:r>
        <w:t>[ ] Softul listează obiectele de inventar date în folosință (8035) pentru inventariere?</w:t>
      </w:r>
    </w:p>
    <w:p>
      <w:pPr>
        <w:pStyle w:val="ListBullet"/>
      </w:pPr>
      <w:r>
        <w:t>[ ] Softul verifică automat codul de TVA al partenerilor la ANAF? Și TVA la încasare, la închidere?</w:t>
      </w:r>
    </w:p>
    <w:p>
      <w:pPr>
        <w:jc w:val="both"/>
      </w:pPr>
      <w:r>
        <w:rPr>
          <w:b/>
        </w:rPr>
        <w:t>La fiecare factură de la furnizor nou</w:t>
      </w:r>
    </w:p>
    <w:p>
      <w:pPr>
        <w:pStyle w:val="ListBullet"/>
      </w:pPr>
      <w:r>
        <w:t xml:space="preserve">[ ] Partener înregistrat în scopuri de TVA la </w:t>
      </w:r>
      <w:r>
        <w:rPr>
          <w:b/>
        </w:rPr>
        <w:t>data facturii</w:t>
      </w:r>
      <w:r>
        <w:t>? (registru ANAF, nu Google)</w:t>
      </w:r>
    </w:p>
    <w:p>
      <w:pPr>
        <w:pStyle w:val="ListBullet"/>
      </w:pPr>
      <w:r>
        <w:t>[ ] Partener UE — cod valid în VIES?</w:t>
      </w:r>
    </w:p>
    <w:p>
      <w:pPr>
        <w:pStyle w:val="ListBullet"/>
      </w:pPr>
      <w:r>
        <w:t>[ ] Dacă apare „taxare inversă": ambii parteneri sunt plătitori de TVA?</w:t>
      </w:r>
    </w:p>
    <w:p>
      <w:pPr>
        <w:pStyle w:val="ListBullet"/>
      </w:pPr>
      <w:r>
        <w:t>[ ] Dacă nu e cota standard: e înscris articolul de lege pe factură?</w:t>
      </w:r>
    </w:p>
    <w:p>
      <w:pPr>
        <w:pStyle w:val="ListBullet"/>
      </w:pPr>
      <w:r>
        <w:t>[ ] Import: taxele vamale și transportul sunt incluse în costul mărfii?</w:t>
      </w:r>
    </w:p>
    <w:p>
      <w:pPr>
        <w:jc w:val="both"/>
      </w:pPr>
      <w:r>
        <w:rPr>
          <w:b/>
        </w:rPr>
        <w:t>La închiderea lunii</w:t>
      </w:r>
    </w:p>
    <w:p>
      <w:pPr>
        <w:pStyle w:val="ListBullet"/>
      </w:pPr>
      <w:r>
        <w:t>[ ] Rulaj 4426 = TVA din jurnalul de cumpărări?</w:t>
      </w:r>
    </w:p>
    <w:p>
      <w:pPr>
        <w:pStyle w:val="ListBullet"/>
      </w:pPr>
      <w:r>
        <w:t>[ ] Rulaj 4427 = TVA din jurnalul de vânzări?</w:t>
      </w:r>
    </w:p>
    <w:p>
      <w:pPr>
        <w:pStyle w:val="ListBullet"/>
      </w:pPr>
      <w:r>
        <w:t>[ ] Ajustările fără document (50% auto, lipsă la inventar) apar în jurnale?</w:t>
      </w:r>
    </w:p>
    <w:p>
      <w:pPr>
        <w:pStyle w:val="ListBullet"/>
      </w:pPr>
      <w:r>
        <w:t xml:space="preserve">[ ] </w:t>
      </w:r>
      <w:r>
        <w:rPr>
          <w:rFonts w:ascii="Consolas" w:hAnsi="Consolas"/>
          <w:color w:val="1F4E79"/>
          <w:sz w:val="19"/>
        </w:rPr>
        <w:t>707 − 607 = Rd 378</w:t>
      </w:r>
      <w:r>
        <w:t>?</w:t>
      </w:r>
    </w:p>
    <w:p>
      <w:pPr>
        <w:pStyle w:val="ListBullet"/>
      </w:pPr>
      <w:r>
        <w:t xml:space="preserve">[ ] </w:t>
      </w:r>
      <w:r>
        <w:rPr>
          <w:rFonts w:ascii="Consolas" w:hAnsi="Consolas"/>
          <w:color w:val="1F4E79"/>
          <w:sz w:val="19"/>
        </w:rPr>
        <w:t>Sold 371 × cotă/(100+cotă) = Sold 4428</w:t>
      </w:r>
      <w:r>
        <w:t>, pe fiecare gestiune?</w:t>
      </w:r>
    </w:p>
    <w:p>
      <w:pPr>
        <w:pStyle w:val="ListBullet"/>
      </w:pPr>
      <w:r>
        <w:t>[ ] 4426 și 4427 s-au regularizat în 4423/4424?</w:t>
      </w:r>
    </w:p>
    <w:p>
      <w:pPr>
        <w:pStyle w:val="ListBullet"/>
      </w:pPr>
      <w:r>
        <w:t>[ ] 331 e evaluat la cost de producție complet (nu doar materiale)?</w:t>
      </w:r>
    </w:p>
    <w:p>
      <w:pPr>
        <w:pStyle w:val="ListBullet"/>
      </w:pPr>
      <w:r>
        <w:t>[ ] Există 602x fără 302x corespondent? (semn că s-a trecut direct pe cheltuială)</w:t>
      </w:r>
    </w:p>
    <w:p>
      <w:pPr>
        <w:spacing w:before="40" w:after="160"/>
        <w:pBdr>
          <w:bottom w:val="single" w:sz="6" w:color="DBE3EA"/>
        </w:pBdr>
      </w:pPr>
    </w:p>
    <w:p>
      <w:pPr>
        <w:pStyle w:val="Heading2"/>
      </w:pPr>
      <w:r>
        <w:t>Anexa C — Ce am corectat față de notițele originale</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w:t>
            </w:r>
          </w:p>
        </w:tc>
        <w:tc>
          <w:tcPr>
            <w:tcW w:type="dxa" w:w="2880"/>
          </w:tcPr>
          <w:p>
            <w:pPr>
              <w:spacing w:after="40"/>
            </w:pPr>
            <w:r>
              <w:rPr>
                <w:b/>
                <w:sz w:val="18"/>
              </w:rPr>
            </w:r>
            <w:r>
              <w:rPr>
                <w:b/>
                <w:sz w:val="18"/>
              </w:rPr>
              <w:t>Notița originală</w:t>
            </w:r>
          </w:p>
        </w:tc>
        <w:tc>
          <w:tcPr>
            <w:tcW w:type="dxa" w:w="2880"/>
          </w:tcPr>
          <w:p>
            <w:pPr>
              <w:spacing w:after="40"/>
            </w:pPr>
            <w:r>
              <w:rPr>
                <w:b/>
                <w:sz w:val="18"/>
              </w:rPr>
            </w:r>
            <w:r>
              <w:rPr>
                <w:b/>
                <w:sz w:val="18"/>
              </w:rPr>
              <w:t>Corecția</w:t>
            </w:r>
          </w:p>
        </w:tc>
      </w:tr>
      <w:tr>
        <w:tc>
          <w:tcPr>
            <w:tcW w:type="dxa" w:w="2880"/>
          </w:tcPr>
          <w:p>
            <w:pPr>
              <w:spacing w:after="40"/>
            </w:pPr>
            <w:r>
              <w:rPr>
                <w:sz w:val="18"/>
              </w:rPr>
            </w:r>
            <w:r>
              <w:rPr>
                <w:sz w:val="18"/>
              </w:rPr>
              <w:t>1</w:t>
            </w:r>
          </w:p>
        </w:tc>
        <w:tc>
          <w:tcPr>
            <w:tcW w:type="dxa" w:w="2880"/>
          </w:tcPr>
          <w:p>
            <w:pPr>
              <w:spacing w:after="40"/>
            </w:pPr>
            <w:r>
              <w:rPr>
                <w:sz w:val="18"/>
              </w:rPr>
            </w:r>
            <w:r>
              <w:rPr>
                <w:rFonts w:ascii="Consolas" w:hAnsi="Consolas"/>
                <w:color w:val="1F4E79"/>
                <w:sz w:val="18"/>
              </w:rPr>
              <w:t>301 = 401</w:t>
            </w:r>
            <w:r>
              <w:rPr>
                <w:sz w:val="18"/>
              </w:rPr>
              <w:t xml:space="preserve"> cu TVA, fără 4426</w:t>
            </w:r>
          </w:p>
        </w:tc>
        <w:tc>
          <w:tcPr>
            <w:tcW w:type="dxa" w:w="2880"/>
          </w:tcPr>
          <w:p>
            <w:pPr>
              <w:spacing w:after="40"/>
            </w:pPr>
            <w:r>
              <w:rPr>
                <w:sz w:val="18"/>
              </w:rPr>
            </w:r>
            <w:r>
              <w:rPr>
                <w:sz w:val="18"/>
              </w:rPr>
              <w:t xml:space="preserve">formula compusă: </w:t>
            </w:r>
            <w:r>
              <w:rPr>
                <w:rFonts w:ascii="Consolas" w:hAnsi="Consolas"/>
                <w:color w:val="1F4E79"/>
                <w:sz w:val="18"/>
              </w:rPr>
              <w:t>% = 401</w:t>
            </w:r>
            <w:r>
              <w:rPr>
                <w:sz w:val="18"/>
              </w:rPr>
              <w:t xml:space="preserve"> cu 301 și 4426</w:t>
            </w:r>
          </w:p>
        </w:tc>
      </w:tr>
      <w:tr>
        <w:tc>
          <w:tcPr>
            <w:tcW w:type="dxa" w:w="2880"/>
          </w:tcPr>
          <w:p>
            <w:pPr>
              <w:spacing w:after="40"/>
            </w:pPr>
            <w:r>
              <w:rPr>
                <w:sz w:val="18"/>
              </w:rPr>
            </w:r>
            <w:r>
              <w:rPr>
                <w:sz w:val="18"/>
              </w:rPr>
              <w:t>2</w:t>
            </w:r>
          </w:p>
        </w:tc>
        <w:tc>
          <w:tcPr>
            <w:tcW w:type="dxa" w:w="2880"/>
          </w:tcPr>
          <w:p>
            <w:pPr>
              <w:spacing w:after="40"/>
            </w:pPr>
            <w:r>
              <w:rPr>
                <w:sz w:val="18"/>
              </w:rPr>
            </w:r>
            <w:r>
              <w:rPr>
                <w:sz w:val="18"/>
              </w:rPr>
              <w:t xml:space="preserve">Taxare inversă: </w:t>
            </w:r>
            <w:r>
              <w:rPr>
                <w:rFonts w:ascii="Consolas" w:hAnsi="Consolas"/>
                <w:color w:val="1F4E79"/>
                <w:sz w:val="18"/>
              </w:rPr>
              <w:t>301 = 401 + 4427</w:t>
            </w:r>
          </w:p>
        </w:tc>
        <w:tc>
          <w:tcPr>
            <w:tcW w:type="dxa" w:w="2880"/>
          </w:tcPr>
          <w:p>
            <w:pPr>
              <w:spacing w:after="40"/>
            </w:pPr>
            <w:r>
              <w:rPr>
                <w:sz w:val="18"/>
              </w:rPr>
            </w:r>
            <w:r>
              <w:rPr>
                <w:rFonts w:ascii="Consolas" w:hAnsi="Consolas"/>
                <w:color w:val="1F4E79"/>
                <w:sz w:val="18"/>
              </w:rPr>
              <w:t>301 = 401</w:t>
            </w:r>
            <w:r>
              <w:rPr>
                <w:sz w:val="18"/>
              </w:rPr>
              <w:t xml:space="preserve"> </w:t>
            </w:r>
            <w:r>
              <w:rPr>
                <w:b/>
                <w:sz w:val="18"/>
              </w:rPr>
              <w:t>și separat</w:t>
            </w:r>
            <w:r>
              <w:rPr>
                <w:sz w:val="18"/>
              </w:rPr>
              <w:t xml:space="preserve"> </w:t>
            </w:r>
            <w:r>
              <w:rPr>
                <w:rFonts w:ascii="Consolas" w:hAnsi="Consolas"/>
                <w:color w:val="1F4E79"/>
                <w:sz w:val="18"/>
              </w:rPr>
              <w:t>4426 = 4427</w:t>
            </w:r>
          </w:p>
        </w:tc>
      </w:tr>
      <w:tr>
        <w:tc>
          <w:tcPr>
            <w:tcW w:type="dxa" w:w="2880"/>
          </w:tcPr>
          <w:p>
            <w:pPr>
              <w:spacing w:after="40"/>
            </w:pPr>
            <w:r>
              <w:rPr>
                <w:sz w:val="18"/>
              </w:rPr>
            </w:r>
            <w:r>
              <w:rPr>
                <w:sz w:val="18"/>
              </w:rPr>
              <w:t>3</w:t>
            </w:r>
          </w:p>
        </w:tc>
        <w:tc>
          <w:tcPr>
            <w:tcW w:type="dxa" w:w="2880"/>
          </w:tcPr>
          <w:p>
            <w:pPr>
              <w:spacing w:after="40"/>
            </w:pPr>
            <w:r>
              <w:rPr>
                <w:sz w:val="18"/>
              </w:rPr>
            </w:r>
            <w:r>
              <w:rPr>
                <w:sz w:val="18"/>
              </w:rPr>
              <w:t xml:space="preserve">„nedepunere D300 </w:t>
            </w:r>
            <w:r>
              <w:rPr>
                <w:b/>
                <w:sz w:val="18"/>
              </w:rPr>
              <w:t>2 luni</w:t>
            </w:r>
            <w:r>
              <w:rPr>
                <w:sz w:val="18"/>
              </w:rPr>
              <w:t xml:space="preserve"> consecutive"</w:t>
            </w:r>
          </w:p>
        </w:tc>
        <w:tc>
          <w:tcPr>
            <w:tcW w:type="dxa" w:w="2880"/>
          </w:tcPr>
          <w:p>
            <w:pPr>
              <w:spacing w:after="40"/>
            </w:pPr>
            <w:r>
              <w:rPr>
                <w:sz w:val="18"/>
              </w:rPr>
            </w:r>
            <w:r>
              <w:rPr>
                <w:b/>
                <w:sz w:val="18"/>
              </w:rPr>
              <w:t>6 luni</w:t>
            </w:r>
            <w:r>
              <w:rPr>
                <w:sz w:val="18"/>
              </w:rPr>
              <w:t xml:space="preserve"> consecutive / 2 trimestre (art. 316 alin. 11 lit. d)</w:t>
            </w:r>
          </w:p>
        </w:tc>
      </w:tr>
      <w:tr>
        <w:tc>
          <w:tcPr>
            <w:tcW w:type="dxa" w:w="2880"/>
          </w:tcPr>
          <w:p>
            <w:pPr>
              <w:spacing w:after="40"/>
            </w:pPr>
            <w:r>
              <w:rPr>
                <w:sz w:val="18"/>
              </w:rPr>
            </w:r>
            <w:r>
              <w:rPr>
                <w:sz w:val="18"/>
              </w:rPr>
              <w:t>4</w:t>
            </w:r>
          </w:p>
        </w:tc>
        <w:tc>
          <w:tcPr>
            <w:tcW w:type="dxa" w:w="2880"/>
          </w:tcPr>
          <w:p>
            <w:pPr>
              <w:spacing w:after="40"/>
            </w:pPr>
            <w:r>
              <w:rPr>
                <w:sz w:val="18"/>
              </w:rPr>
            </w:r>
            <w:r>
              <w:rPr>
                <w:sz w:val="18"/>
              </w:rPr>
              <w:t>„verificăm pe Google"</w:t>
            </w:r>
          </w:p>
        </w:tc>
        <w:tc>
          <w:tcPr>
            <w:tcW w:type="dxa" w:w="2880"/>
          </w:tcPr>
          <w:p>
            <w:pPr>
              <w:spacing w:after="40"/>
            </w:pPr>
            <w:r>
              <w:rPr>
                <w:sz w:val="18"/>
              </w:rPr>
            </w:r>
            <w:r>
              <w:rPr>
                <w:sz w:val="18"/>
              </w:rPr>
              <w:t>registrele oficiale ANAF + VIES</w:t>
            </w:r>
          </w:p>
        </w:tc>
      </w:tr>
      <w:tr>
        <w:tc>
          <w:tcPr>
            <w:tcW w:type="dxa" w:w="2880"/>
          </w:tcPr>
          <w:p>
            <w:pPr>
              <w:spacing w:after="40"/>
            </w:pPr>
            <w:r>
              <w:rPr>
                <w:sz w:val="18"/>
              </w:rPr>
            </w:r>
            <w:r>
              <w:rPr>
                <w:sz w:val="18"/>
              </w:rPr>
              <w:t>5</w:t>
            </w:r>
          </w:p>
        </w:tc>
        <w:tc>
          <w:tcPr>
            <w:tcW w:type="dxa" w:w="2880"/>
          </w:tcPr>
          <w:p>
            <w:pPr>
              <w:spacing w:after="40"/>
            </w:pPr>
            <w:r>
              <w:rPr>
                <w:sz w:val="18"/>
              </w:rPr>
            </w:r>
            <w:r>
              <w:rPr>
                <w:sz w:val="18"/>
              </w:rPr>
              <w:t xml:space="preserve">„301 cuplat cu </w:t>
            </w:r>
            <w:r>
              <w:rPr>
                <w:b/>
                <w:sz w:val="18"/>
              </w:rPr>
              <w:t>704</w:t>
            </w:r>
            <w:r>
              <w:rPr>
                <w:sz w:val="18"/>
              </w:rPr>
              <w:t xml:space="preserve"> și 7015"</w:t>
            </w:r>
          </w:p>
        </w:tc>
        <w:tc>
          <w:tcPr>
            <w:tcW w:type="dxa" w:w="2880"/>
          </w:tcPr>
          <w:p>
            <w:pPr>
              <w:spacing w:after="40"/>
            </w:pPr>
            <w:r>
              <w:rPr>
                <w:sz w:val="18"/>
              </w:rPr>
            </w:r>
            <w:r>
              <w:rPr>
                <w:sz w:val="18"/>
              </w:rPr>
              <w:t xml:space="preserve">704 = servicii prestate; corect </w:t>
            </w:r>
            <w:r>
              <w:rPr>
                <w:b/>
                <w:sz w:val="18"/>
              </w:rPr>
              <w:t>7015</w:t>
            </w:r>
            <w:r>
              <w:rPr>
                <w:sz w:val="18"/>
              </w:rPr>
              <w:t xml:space="preserve"> și 711</w:t>
            </w:r>
          </w:p>
        </w:tc>
      </w:tr>
      <w:tr>
        <w:tc>
          <w:tcPr>
            <w:tcW w:type="dxa" w:w="2880"/>
          </w:tcPr>
          <w:p>
            <w:pPr>
              <w:spacing w:after="40"/>
            </w:pPr>
            <w:r>
              <w:rPr>
                <w:sz w:val="18"/>
              </w:rPr>
            </w:r>
            <w:r>
              <w:rPr>
                <w:sz w:val="18"/>
              </w:rPr>
              <w:t>6</w:t>
            </w:r>
          </w:p>
        </w:tc>
        <w:tc>
          <w:tcPr>
            <w:tcW w:type="dxa" w:w="2880"/>
          </w:tcPr>
          <w:p>
            <w:pPr>
              <w:spacing w:after="40"/>
            </w:pPr>
            <w:r>
              <w:rPr>
                <w:sz w:val="18"/>
              </w:rPr>
            </w:r>
            <w:r>
              <w:rPr>
                <w:sz w:val="18"/>
              </w:rPr>
              <w:t>„&gt;1 an durată, chiar dacă &lt;5.000 ⟹ mijloc fix"</w:t>
            </w:r>
          </w:p>
        </w:tc>
        <w:tc>
          <w:tcPr>
            <w:tcW w:type="dxa" w:w="2880"/>
          </w:tcPr>
          <w:p>
            <w:pPr>
              <w:spacing w:after="40"/>
            </w:pPr>
            <w:r>
              <w:rPr>
                <w:sz w:val="18"/>
              </w:rPr>
            </w:r>
            <w:r>
              <w:rPr>
                <w:sz w:val="18"/>
              </w:rPr>
              <w:t xml:space="preserve">condițiile sunt </w:t>
            </w:r>
            <w:r>
              <w:rPr>
                <w:b/>
                <w:sz w:val="18"/>
              </w:rPr>
              <w:t>cumulative</w:t>
            </w:r>
            <w:r>
              <w:rPr>
                <w:sz w:val="18"/>
              </w:rPr>
              <w:t>; sub prag = obiect de inventar</w:t>
            </w:r>
          </w:p>
        </w:tc>
      </w:tr>
      <w:tr>
        <w:tc>
          <w:tcPr>
            <w:tcW w:type="dxa" w:w="2880"/>
          </w:tcPr>
          <w:p>
            <w:pPr>
              <w:spacing w:after="40"/>
            </w:pPr>
            <w:r>
              <w:rPr>
                <w:sz w:val="18"/>
              </w:rPr>
            </w:r>
            <w:r>
              <w:rPr>
                <w:sz w:val="18"/>
              </w:rPr>
              <w:t>7</w:t>
            </w:r>
          </w:p>
        </w:tc>
        <w:tc>
          <w:tcPr>
            <w:tcW w:type="dxa" w:w="2880"/>
          </w:tcPr>
          <w:p>
            <w:pPr>
              <w:spacing w:after="40"/>
            </w:pPr>
            <w:r>
              <w:rPr>
                <w:sz w:val="18"/>
              </w:rPr>
            </w:r>
            <w:r>
              <w:rPr>
                <w:sz w:val="18"/>
              </w:rPr>
              <w:t>prag 5.000 fără context</w:t>
            </w:r>
          </w:p>
        </w:tc>
        <w:tc>
          <w:tcPr>
            <w:tcW w:type="dxa" w:w="2880"/>
          </w:tcPr>
          <w:p>
            <w:pPr>
              <w:spacing w:after="40"/>
            </w:pPr>
            <w:r>
              <w:rPr>
                <w:sz w:val="18"/>
              </w:rPr>
            </w:r>
            <w:r>
              <w:rPr>
                <w:sz w:val="18"/>
              </w:rPr>
              <w:t xml:space="preserve">OUG 8/2026, de la 25.02.2026, </w:t>
            </w:r>
            <w:r>
              <w:rPr>
                <w:b/>
                <w:sz w:val="18"/>
              </w:rPr>
              <w:t>prag fiscal</w:t>
            </w:r>
            <w:r>
              <w:rPr>
                <w:sz w:val="18"/>
              </w:rPr>
              <w:t>, cu regim tranzitoriu</w:t>
            </w:r>
          </w:p>
        </w:tc>
      </w:tr>
      <w:tr>
        <w:tc>
          <w:tcPr>
            <w:tcW w:type="dxa" w:w="2880"/>
          </w:tcPr>
          <w:p>
            <w:pPr>
              <w:spacing w:after="40"/>
            </w:pPr>
            <w:r>
              <w:rPr>
                <w:sz w:val="18"/>
              </w:rPr>
            </w:r>
            <w:r>
              <w:rPr>
                <w:sz w:val="18"/>
              </w:rPr>
              <w:t>8</w:t>
            </w:r>
          </w:p>
        </w:tc>
        <w:tc>
          <w:tcPr>
            <w:tcW w:type="dxa" w:w="2880"/>
          </w:tcPr>
          <w:p>
            <w:pPr>
              <w:spacing w:after="40"/>
            </w:pPr>
            <w:r>
              <w:rPr>
                <w:sz w:val="18"/>
              </w:rPr>
            </w:r>
            <w:r>
              <w:rPr>
                <w:sz w:val="18"/>
              </w:rPr>
              <w:t xml:space="preserve">audit: „balanța analitică la </w:t>
            </w:r>
            <w:r>
              <w:rPr>
                <w:b/>
                <w:sz w:val="18"/>
              </w:rPr>
              <w:t>401</w:t>
            </w:r>
            <w:r>
              <w:rPr>
                <w:sz w:val="18"/>
              </w:rPr>
              <w:t xml:space="preserve"> — debit achiziții, credit consum"</w:t>
            </w:r>
          </w:p>
        </w:tc>
        <w:tc>
          <w:tcPr>
            <w:tcW w:type="dxa" w:w="2880"/>
          </w:tcPr>
          <w:p>
            <w:pPr>
              <w:spacing w:after="40"/>
            </w:pPr>
            <w:r>
              <w:rPr>
                <w:sz w:val="18"/>
              </w:rPr>
            </w:r>
            <w:r>
              <w:rPr>
                <w:sz w:val="18"/>
              </w:rPr>
              <w:t xml:space="preserve">corelația debit=intrări / credit=consum e la </w:t>
            </w:r>
            <w:r>
              <w:rPr>
                <w:b/>
                <w:sz w:val="18"/>
              </w:rPr>
              <w:t>conturile de stoc 3xx</w:t>
            </w:r>
          </w:p>
        </w:tc>
      </w:tr>
      <w:tr>
        <w:tc>
          <w:tcPr>
            <w:tcW w:type="dxa" w:w="2880"/>
          </w:tcPr>
          <w:p>
            <w:pPr>
              <w:spacing w:after="40"/>
            </w:pPr>
            <w:r>
              <w:rPr>
                <w:sz w:val="18"/>
              </w:rPr>
            </w:r>
            <w:r>
              <w:rPr>
                <w:sz w:val="18"/>
              </w:rPr>
              <w:t>9</w:t>
            </w:r>
          </w:p>
        </w:tc>
        <w:tc>
          <w:tcPr>
            <w:tcW w:type="dxa" w:w="2880"/>
          </w:tcPr>
          <w:p>
            <w:pPr>
              <w:spacing w:after="40"/>
            </w:pPr>
            <w:r>
              <w:rPr>
                <w:sz w:val="18"/>
              </w:rPr>
            </w:r>
            <w:r>
              <w:rPr>
                <w:sz w:val="18"/>
              </w:rPr>
              <w:t xml:space="preserve">lipsea </w:t>
            </w:r>
            <w:r>
              <w:rPr>
                <w:rFonts w:ascii="Consolas" w:hAnsi="Consolas"/>
                <w:color w:val="1F4E79"/>
                <w:sz w:val="18"/>
              </w:rPr>
              <w:t>302 = 322</w:t>
            </w:r>
            <w:r>
              <w:rPr>
                <w:sz w:val="18"/>
              </w:rPr>
              <w:t xml:space="preserve"> din corespondențele 32x</w:t>
            </w:r>
          </w:p>
        </w:tc>
        <w:tc>
          <w:tcPr>
            <w:tcW w:type="dxa" w:w="2880"/>
          </w:tcPr>
          <w:p>
            <w:pPr>
              <w:spacing w:after="40"/>
            </w:pPr>
            <w:r>
              <w:rPr>
                <w:sz w:val="18"/>
              </w:rPr>
            </w:r>
            <w:r>
              <w:rPr>
                <w:sz w:val="18"/>
              </w:rPr>
              <w:t>tabel complet 321–328</w:t>
            </w:r>
          </w:p>
        </w:tc>
      </w:tr>
      <w:tr>
        <w:tc>
          <w:tcPr>
            <w:tcW w:type="dxa" w:w="2880"/>
          </w:tcPr>
          <w:p>
            <w:pPr>
              <w:spacing w:after="40"/>
            </w:pPr>
            <w:r>
              <w:rPr>
                <w:sz w:val="18"/>
              </w:rPr>
            </w:r>
            <w:r>
              <w:rPr>
                <w:sz w:val="18"/>
              </w:rPr>
              <w:t>10</w:t>
            </w:r>
          </w:p>
        </w:tc>
        <w:tc>
          <w:tcPr>
            <w:tcW w:type="dxa" w:w="2880"/>
          </w:tcPr>
          <w:p>
            <w:pPr>
              <w:spacing w:after="40"/>
            </w:pPr>
            <w:r>
              <w:rPr>
                <w:sz w:val="18"/>
              </w:rPr>
            </w:r>
            <w:r>
              <w:rPr>
                <w:sz w:val="18"/>
              </w:rPr>
              <w:t>„taxare inversă: și furnizorul și cumpărătorul nu mai deduc"</w:t>
            </w:r>
          </w:p>
        </w:tc>
        <w:tc>
          <w:tcPr>
            <w:tcW w:type="dxa" w:w="2880"/>
          </w:tcPr>
          <w:p>
            <w:pPr>
              <w:spacing w:after="40"/>
            </w:pPr>
            <w:r>
              <w:rPr>
                <w:sz w:val="18"/>
              </w:rPr>
            </w:r>
            <w:r>
              <w:rPr>
                <w:sz w:val="18"/>
              </w:rPr>
              <w:t xml:space="preserve">furnizorul </w:t>
            </w:r>
            <w:r>
              <w:rPr>
                <w:b/>
                <w:sz w:val="18"/>
              </w:rPr>
              <w:t>nu colectează</w:t>
            </w:r>
            <w:r>
              <w:rPr>
                <w:sz w:val="18"/>
              </w:rPr>
              <w:t xml:space="preserve">; beneficiarul înregistrează </w:t>
            </w:r>
            <w:r>
              <w:rPr>
                <w:b/>
                <w:sz w:val="18"/>
              </w:rPr>
              <w:t>și</w:t>
            </w:r>
            <w:r>
              <w:rPr>
                <w:sz w:val="18"/>
              </w:rPr>
              <w:t xml:space="preserve"> 4426 </w:t>
            </w:r>
            <w:r>
              <w:rPr>
                <w:b/>
                <w:sz w:val="18"/>
              </w:rPr>
              <w:t>și</w:t>
            </w:r>
            <w:r>
              <w:rPr>
                <w:sz w:val="18"/>
              </w:rPr>
              <w:t xml:space="preserve"> 4427</w:t>
            </w:r>
          </w:p>
        </w:tc>
      </w:tr>
      <w:tr>
        <w:tc>
          <w:tcPr>
            <w:tcW w:type="dxa" w:w="2880"/>
          </w:tcPr>
          <w:p>
            <w:pPr>
              <w:spacing w:after="40"/>
            </w:pPr>
            <w:r>
              <w:rPr>
                <w:sz w:val="18"/>
              </w:rPr>
            </w:r>
            <w:r>
              <w:rPr>
                <w:sz w:val="18"/>
              </w:rPr>
              <w:t>11</w:t>
            </w:r>
          </w:p>
        </w:tc>
        <w:tc>
          <w:tcPr>
            <w:tcW w:type="dxa" w:w="2880"/>
          </w:tcPr>
          <w:p>
            <w:pPr>
              <w:spacing w:after="40"/>
            </w:pPr>
            <w:r>
              <w:rPr>
                <w:sz w:val="18"/>
              </w:rPr>
            </w:r>
            <w:r>
              <w:rPr>
                <w:sz w:val="18"/>
              </w:rPr>
              <w:t>„imobile noi vândute între societăți"</w:t>
            </w:r>
          </w:p>
        </w:tc>
        <w:tc>
          <w:tcPr>
            <w:tcW w:type="dxa" w:w="2880"/>
          </w:tcPr>
          <w:p>
            <w:pPr>
              <w:spacing w:after="40"/>
            </w:pPr>
            <w:r>
              <w:rPr>
                <w:sz w:val="18"/>
              </w:rPr>
            </w:r>
            <w:r>
              <w:rPr>
                <w:sz w:val="18"/>
              </w:rPr>
              <w:t xml:space="preserve">construcții/terenuri taxabile </w:t>
            </w:r>
            <w:r>
              <w:rPr>
                <w:b/>
                <w:sz w:val="18"/>
              </w:rPr>
              <w:t>prin lege sau prin opțiune</w:t>
            </w:r>
          </w:p>
        </w:tc>
      </w:tr>
      <w:tr>
        <w:tc>
          <w:tcPr>
            <w:tcW w:type="dxa" w:w="2880"/>
          </w:tcPr>
          <w:p>
            <w:pPr>
              <w:spacing w:after="40"/>
            </w:pPr>
            <w:r>
              <w:rPr>
                <w:sz w:val="18"/>
              </w:rPr>
            </w:r>
            <w:r>
              <w:rPr>
                <w:sz w:val="18"/>
              </w:rPr>
              <w:t>12</w:t>
            </w:r>
          </w:p>
        </w:tc>
        <w:tc>
          <w:tcPr>
            <w:tcW w:type="dxa" w:w="2880"/>
          </w:tcPr>
          <w:p>
            <w:pPr>
              <w:spacing w:after="40"/>
            </w:pPr>
            <w:r>
              <w:rPr>
                <w:sz w:val="18"/>
              </w:rPr>
            </w:r>
            <w:r>
              <w:rPr>
                <w:rFonts w:ascii="Consolas" w:hAnsi="Consolas"/>
                <w:color w:val="1F4E79"/>
                <w:sz w:val="18"/>
              </w:rPr>
              <w:t>331/332</w:t>
            </w:r>
            <w:r>
              <w:rPr>
                <w:sz w:val="18"/>
              </w:rPr>
              <w:t xml:space="preserve"> cu </w:t>
            </w:r>
            <w:r>
              <w:rPr>
                <w:rFonts w:ascii="Consolas" w:hAnsi="Consolas"/>
                <w:color w:val="1F4E79"/>
                <w:sz w:val="18"/>
              </w:rPr>
              <w:t>711/**722**</w:t>
            </w:r>
          </w:p>
        </w:tc>
        <w:tc>
          <w:tcPr>
            <w:tcW w:type="dxa" w:w="2880"/>
          </w:tcPr>
          <w:p>
            <w:pPr>
              <w:spacing w:after="40"/>
            </w:pPr>
            <w:r>
              <w:rPr>
                <w:sz w:val="18"/>
              </w:rPr>
            </w:r>
            <w:r>
              <w:rPr>
                <w:sz w:val="18"/>
              </w:rPr>
              <w:t xml:space="preserve">perechea lui 332 este </w:t>
            </w:r>
            <w:r>
              <w:rPr>
                <w:b/>
                <w:sz w:val="18"/>
              </w:rPr>
              <w:t>712</w:t>
            </w:r>
            <w:r>
              <w:rPr>
                <w:sz w:val="18"/>
              </w:rPr>
              <w:t>; 722 = producția de imobilizări corporale</w:t>
            </w:r>
          </w:p>
        </w:tc>
      </w:tr>
      <w:tr>
        <w:tc>
          <w:tcPr>
            <w:tcW w:type="dxa" w:w="2880"/>
          </w:tcPr>
          <w:p>
            <w:pPr>
              <w:spacing w:after="40"/>
            </w:pPr>
            <w:r>
              <w:rPr>
                <w:sz w:val="18"/>
              </w:rPr>
            </w:r>
            <w:r>
              <w:rPr>
                <w:sz w:val="18"/>
              </w:rPr>
              <w:t>13</w:t>
            </w:r>
          </w:p>
        </w:tc>
        <w:tc>
          <w:tcPr>
            <w:tcW w:type="dxa" w:w="2880"/>
          </w:tcPr>
          <w:p>
            <w:pPr>
              <w:spacing w:after="40"/>
            </w:pPr>
            <w:r>
              <w:rPr>
                <w:sz w:val="18"/>
              </w:rPr>
            </w:r>
            <w:r>
              <w:rPr>
                <w:sz w:val="18"/>
              </w:rPr>
              <w:t>„soft făcut cu salariații" la 331/332</w:t>
            </w:r>
          </w:p>
        </w:tc>
        <w:tc>
          <w:tcPr>
            <w:tcW w:type="dxa" w:w="2880"/>
          </w:tcPr>
          <w:p>
            <w:pPr>
              <w:spacing w:after="40"/>
            </w:pPr>
            <w:r>
              <w:rPr>
                <w:sz w:val="18"/>
              </w:rPr>
            </w:r>
            <w:r>
              <w:rPr>
                <w:sz w:val="18"/>
              </w:rPr>
              <w:t xml:space="preserve">software intern = </w:t>
            </w:r>
            <w:r>
              <w:rPr>
                <w:b/>
                <w:sz w:val="18"/>
              </w:rPr>
              <w:t>233 → 721 → 203/208</w:t>
            </w:r>
            <w:r>
              <w:rPr>
                <w:sz w:val="18"/>
              </w:rPr>
              <w:t>, nu stoc</w:t>
            </w:r>
          </w:p>
        </w:tc>
      </w:tr>
      <w:tr>
        <w:tc>
          <w:tcPr>
            <w:tcW w:type="dxa" w:w="2880"/>
          </w:tcPr>
          <w:p>
            <w:pPr>
              <w:spacing w:after="40"/>
            </w:pPr>
            <w:r>
              <w:rPr>
                <w:sz w:val="18"/>
              </w:rPr>
            </w:r>
            <w:r>
              <w:rPr>
                <w:sz w:val="18"/>
              </w:rPr>
              <w:t>14</w:t>
            </w:r>
          </w:p>
        </w:tc>
        <w:tc>
          <w:tcPr>
            <w:tcW w:type="dxa" w:w="2880"/>
          </w:tcPr>
          <w:p>
            <w:pPr>
              <w:spacing w:after="40"/>
            </w:pPr>
            <w:r>
              <w:rPr>
                <w:sz w:val="18"/>
              </w:rPr>
            </w:r>
            <w:r>
              <w:rPr>
                <w:rFonts w:ascii="Consolas" w:hAnsi="Consolas"/>
                <w:color w:val="1F4E79"/>
                <w:sz w:val="18"/>
              </w:rPr>
              <w:t>sticlă: 301 = 601 50k</w:t>
            </w:r>
          </w:p>
        </w:tc>
        <w:tc>
          <w:tcPr>
            <w:tcW w:type="dxa" w:w="2880"/>
          </w:tcPr>
          <w:p>
            <w:pPr>
              <w:spacing w:after="40"/>
            </w:pPr>
            <w:r>
              <w:rPr>
                <w:sz w:val="18"/>
              </w:rPr>
            </w:r>
            <w:r>
              <w:rPr>
                <w:sz w:val="18"/>
              </w:rPr>
              <w:t xml:space="preserve">achiziția e </w:t>
            </w:r>
            <w:r>
              <w:rPr>
                <w:rFonts w:ascii="Consolas" w:hAnsi="Consolas"/>
                <w:color w:val="1F4E79"/>
                <w:sz w:val="18"/>
              </w:rPr>
              <w:t>301 = 401</w:t>
            </w:r>
            <w:r>
              <w:rPr>
                <w:sz w:val="18"/>
              </w:rPr>
              <w:t xml:space="preserve">; consumul e </w:t>
            </w:r>
            <w:r>
              <w:rPr>
                <w:rFonts w:ascii="Consolas" w:hAnsi="Consolas"/>
                <w:color w:val="1F4E79"/>
                <w:sz w:val="18"/>
              </w:rPr>
              <w:t>601 = 301</w:t>
            </w:r>
          </w:p>
        </w:tc>
      </w:tr>
      <w:tr>
        <w:tc>
          <w:tcPr>
            <w:tcW w:type="dxa" w:w="2880"/>
          </w:tcPr>
          <w:p>
            <w:pPr>
              <w:spacing w:after="40"/>
            </w:pPr>
            <w:r>
              <w:rPr>
                <w:sz w:val="18"/>
              </w:rPr>
            </w:r>
            <w:r>
              <w:rPr>
                <w:sz w:val="18"/>
              </w:rPr>
              <w:t>15</w:t>
            </w:r>
          </w:p>
        </w:tc>
        <w:tc>
          <w:tcPr>
            <w:tcW w:type="dxa" w:w="2880"/>
          </w:tcPr>
          <w:p>
            <w:pPr>
              <w:spacing w:after="40"/>
            </w:pPr>
            <w:r>
              <w:rPr>
                <w:sz w:val="18"/>
              </w:rPr>
            </w:r>
            <w:r>
              <w:rPr>
                <w:rFonts w:ascii="Consolas" w:hAnsi="Consolas"/>
                <w:color w:val="1F4E79"/>
                <w:sz w:val="18"/>
              </w:rPr>
              <w:t>4111 = ?</w:t>
            </w:r>
            <w:r>
              <w:rPr>
                <w:sz w:val="18"/>
              </w:rPr>
              <w:t xml:space="preserve"> la vânzarea produsului finit</w:t>
            </w:r>
          </w:p>
        </w:tc>
        <w:tc>
          <w:tcPr>
            <w:tcW w:type="dxa" w:w="2880"/>
          </w:tcPr>
          <w:p>
            <w:pPr>
              <w:spacing w:after="40"/>
            </w:pPr>
            <w:r>
              <w:rPr>
                <w:sz w:val="18"/>
              </w:rPr>
            </w:r>
            <w:r>
              <w:rPr>
                <w:rFonts w:ascii="Consolas" w:hAnsi="Consolas"/>
                <w:color w:val="1F4E79"/>
                <w:sz w:val="18"/>
              </w:rPr>
              <w:t>4111 = % (7015 + 4427)</w:t>
            </w:r>
            <w:r>
              <w:rPr>
                <w:sz w:val="18"/>
              </w:rPr>
              <w:t xml:space="preserve"> </w:t>
            </w:r>
            <w:r>
              <w:rPr>
                <w:b/>
                <w:sz w:val="18"/>
              </w:rPr>
              <w:t>plus</w:t>
            </w:r>
            <w:r>
              <w:rPr>
                <w:sz w:val="18"/>
              </w:rPr>
              <w:t xml:space="preserve"> </w:t>
            </w:r>
            <w:r>
              <w:rPr>
                <w:rFonts w:ascii="Consolas" w:hAnsi="Consolas"/>
                <w:color w:val="1F4E79"/>
                <w:sz w:val="18"/>
              </w:rPr>
              <w:t>711 = 345</w:t>
            </w:r>
          </w:p>
        </w:tc>
      </w:tr>
      <w:tr>
        <w:tc>
          <w:tcPr>
            <w:tcW w:type="dxa" w:w="2880"/>
          </w:tcPr>
          <w:p>
            <w:pPr>
              <w:spacing w:after="40"/>
            </w:pPr>
            <w:r>
              <w:rPr>
                <w:sz w:val="18"/>
              </w:rPr>
            </w:r>
            <w:r>
              <w:rPr>
                <w:sz w:val="18"/>
              </w:rPr>
              <w:t>16</w:t>
            </w:r>
          </w:p>
        </w:tc>
        <w:tc>
          <w:tcPr>
            <w:tcW w:type="dxa" w:w="2880"/>
          </w:tcPr>
          <w:p>
            <w:pPr>
              <w:spacing w:after="40"/>
            </w:pPr>
            <w:r>
              <w:rPr>
                <w:sz w:val="18"/>
              </w:rPr>
            </w:r>
            <w:r>
              <w:rPr>
                <w:sz w:val="18"/>
              </w:rPr>
              <w:t>4424 „de rambursat"</w:t>
            </w:r>
          </w:p>
        </w:tc>
        <w:tc>
          <w:tcPr>
            <w:tcW w:type="dxa" w:w="2880"/>
          </w:tcPr>
          <w:p>
            <w:pPr>
              <w:spacing w:after="40"/>
            </w:pPr>
            <w:r>
              <w:rPr>
                <w:sz w:val="18"/>
              </w:rPr>
            </w:r>
            <w:r>
              <w:rPr>
                <w:sz w:val="18"/>
              </w:rPr>
              <w:t xml:space="preserve">denumire oficială: </w:t>
            </w:r>
            <w:r>
              <w:rPr>
                <w:b/>
                <w:sz w:val="18"/>
              </w:rPr>
              <w:t>TVA de recuperat</w:t>
            </w:r>
          </w:p>
        </w:tc>
      </w:tr>
      <w:tr>
        <w:tc>
          <w:tcPr>
            <w:tcW w:type="dxa" w:w="2880"/>
          </w:tcPr>
          <w:p>
            <w:pPr>
              <w:spacing w:after="40"/>
            </w:pPr>
            <w:r>
              <w:rPr>
                <w:sz w:val="18"/>
              </w:rPr>
            </w:r>
            <w:r>
              <w:rPr>
                <w:sz w:val="18"/>
              </w:rPr>
              <w:t>17</w:t>
            </w:r>
          </w:p>
        </w:tc>
        <w:tc>
          <w:tcPr>
            <w:tcW w:type="dxa" w:w="2880"/>
          </w:tcPr>
          <w:p>
            <w:pPr>
              <w:spacing w:after="40"/>
            </w:pPr>
            <w:r>
              <w:rPr>
                <w:sz w:val="18"/>
              </w:rPr>
            </w:r>
            <w:r>
              <w:rPr>
                <w:sz w:val="18"/>
              </w:rPr>
              <w:t xml:space="preserve">„clasa 6 și 7 fără sold, </w:t>
            </w:r>
            <w:r>
              <w:rPr>
                <w:b/>
                <w:sz w:val="18"/>
              </w:rPr>
              <w:t>excluzând 711</w:t>
            </w:r>
            <w:r>
              <w:rPr>
                <w:sz w:val="18"/>
              </w:rPr>
              <w:t>"</w:t>
            </w:r>
          </w:p>
        </w:tc>
        <w:tc>
          <w:tcPr>
            <w:tcW w:type="dxa" w:w="2880"/>
          </w:tcPr>
          <w:p>
            <w:pPr>
              <w:spacing w:after="40"/>
            </w:pPr>
            <w:r>
              <w:rPr>
                <w:sz w:val="18"/>
              </w:rPr>
            </w:r>
            <w:r>
              <w:rPr>
                <w:sz w:val="18"/>
              </w:rPr>
              <w:t>711 se închide la 121 ca oricare; particularitatea e că are rulaje bidirecționale</w:t>
            </w:r>
          </w:p>
        </w:tc>
      </w:tr>
      <w:tr>
        <w:tc>
          <w:tcPr>
            <w:tcW w:type="dxa" w:w="2880"/>
          </w:tcPr>
          <w:p>
            <w:pPr>
              <w:spacing w:after="40"/>
            </w:pPr>
            <w:r>
              <w:rPr>
                <w:sz w:val="18"/>
              </w:rPr>
            </w:r>
            <w:r>
              <w:rPr>
                <w:sz w:val="18"/>
              </w:rPr>
              <w:t>18</w:t>
            </w:r>
          </w:p>
        </w:tc>
        <w:tc>
          <w:tcPr>
            <w:tcW w:type="dxa" w:w="2880"/>
          </w:tcPr>
          <w:p>
            <w:pPr>
              <w:spacing w:after="40"/>
            </w:pPr>
            <w:r>
              <w:rPr>
                <w:sz w:val="18"/>
              </w:rPr>
            </w:r>
            <w:r>
              <w:rPr>
                <w:sz w:val="18"/>
              </w:rPr>
              <w:t>lipsă la inventar: „colectez TVA"</w:t>
            </w:r>
          </w:p>
        </w:tc>
        <w:tc>
          <w:tcPr>
            <w:tcW w:type="dxa" w:w="2880"/>
          </w:tcPr>
          <w:p>
            <w:pPr>
              <w:spacing w:after="40"/>
            </w:pPr>
            <w:r>
              <w:rPr>
                <w:sz w:val="18"/>
              </w:rPr>
            </w:r>
            <w:r>
              <w:rPr>
                <w:sz w:val="18"/>
              </w:rPr>
              <w:t xml:space="preserve">depinde: imputabilă → colectare; neimputabilă → </w:t>
            </w:r>
            <w:r>
              <w:rPr>
                <w:b/>
                <w:sz w:val="18"/>
              </w:rPr>
              <w:t>ajustare</w:t>
            </w:r>
          </w:p>
        </w:tc>
      </w:tr>
      <w:tr>
        <w:tc>
          <w:tcPr>
            <w:tcW w:type="dxa" w:w="2880"/>
          </w:tcPr>
          <w:p>
            <w:pPr>
              <w:spacing w:after="40"/>
            </w:pPr>
            <w:r>
              <w:rPr>
                <w:sz w:val="18"/>
              </w:rPr>
            </w:r>
            <w:r>
              <w:rPr>
                <w:sz w:val="18"/>
              </w:rPr>
              <w:t>19</w:t>
            </w:r>
          </w:p>
        </w:tc>
        <w:tc>
          <w:tcPr>
            <w:tcW w:type="dxa" w:w="2880"/>
          </w:tcPr>
          <w:p>
            <w:pPr>
              <w:spacing w:after="40"/>
            </w:pPr>
            <w:r>
              <w:rPr>
                <w:sz w:val="18"/>
              </w:rPr>
            </w:r>
            <w:r>
              <w:rPr>
                <w:sz w:val="18"/>
              </w:rPr>
              <w:t>4428 la amănuntul explicat ca „dau TVA când încasez"</w:t>
            </w:r>
          </w:p>
        </w:tc>
        <w:tc>
          <w:tcPr>
            <w:tcW w:type="dxa" w:w="2880"/>
          </w:tcPr>
          <w:p>
            <w:pPr>
              <w:spacing w:after="40"/>
            </w:pPr>
            <w:r>
              <w:rPr>
                <w:sz w:val="18"/>
              </w:rPr>
            </w:r>
            <w:r>
              <w:rPr>
                <w:sz w:val="18"/>
              </w:rPr>
              <w:t xml:space="preserve">exigibilitatea e </w:t>
            </w:r>
            <w:r>
              <w:rPr>
                <w:b/>
                <w:sz w:val="18"/>
              </w:rPr>
              <w:t>la vânzare</w:t>
            </w:r>
            <w:r>
              <w:rPr>
                <w:sz w:val="18"/>
              </w:rPr>
              <w:t>, nu la încasare — altceva decât TVA la încasare</w:t>
            </w:r>
          </w:p>
        </w:tc>
      </w:tr>
      <w:tr>
        <w:tc>
          <w:tcPr>
            <w:tcW w:type="dxa" w:w="2880"/>
          </w:tcPr>
          <w:p>
            <w:pPr>
              <w:spacing w:after="40"/>
            </w:pPr>
            <w:r>
              <w:rPr>
                <w:sz w:val="18"/>
              </w:rPr>
            </w:r>
            <w:r>
              <w:rPr>
                <w:sz w:val="18"/>
              </w:rPr>
              <w:t>20</w:t>
            </w:r>
          </w:p>
        </w:tc>
        <w:tc>
          <w:tcPr>
            <w:tcW w:type="dxa" w:w="2880"/>
          </w:tcPr>
          <w:p>
            <w:pPr>
              <w:spacing w:after="40"/>
            </w:pPr>
            <w:r>
              <w:rPr>
                <w:sz w:val="18"/>
              </w:rPr>
            </w:r>
            <w:r>
              <w:rPr>
                <w:sz w:val="18"/>
              </w:rPr>
              <w:t xml:space="preserve">Ex. 2 (11%): </w:t>
            </w:r>
            <w:r>
              <w:rPr>
                <w:rFonts w:ascii="Consolas" w:hAnsi="Consolas"/>
                <w:color w:val="1F4E79"/>
                <w:sz w:val="18"/>
              </w:rPr>
              <w:t>4428 = 0,44</w:t>
            </w:r>
            <w:r>
              <w:rPr>
                <w:sz w:val="18"/>
              </w:rPr>
              <w:t xml:space="preserve"> și </w:t>
            </w:r>
            <w:r>
              <w:rPr>
                <w:rFonts w:ascii="Consolas" w:hAnsi="Consolas"/>
                <w:color w:val="1F4E79"/>
                <w:sz w:val="18"/>
              </w:rPr>
              <w:t>371 = 29,04k</w:t>
            </w:r>
          </w:p>
        </w:tc>
        <w:tc>
          <w:tcPr>
            <w:tcW w:type="dxa" w:w="2880"/>
          </w:tcPr>
          <w:p>
            <w:pPr>
              <w:spacing w:after="40"/>
            </w:pPr>
            <w:r>
              <w:rPr>
                <w:sz w:val="18"/>
              </w:rPr>
            </w:r>
            <w:r>
              <w:rPr>
                <w:rFonts w:ascii="Consolas" w:hAnsi="Consolas"/>
                <w:color w:val="1F4E79"/>
                <w:sz w:val="18"/>
              </w:rPr>
              <w:t>4428 = 2.640</w:t>
            </w:r>
            <w:r>
              <w:rPr>
                <w:sz w:val="18"/>
              </w:rPr>
              <w:t xml:space="preserve">, </w:t>
            </w:r>
            <w:r>
              <w:rPr>
                <w:rFonts w:ascii="Consolas" w:hAnsi="Consolas"/>
                <w:color w:val="1F4E79"/>
                <w:sz w:val="18"/>
              </w:rPr>
              <w:t>371 = **26.640**</w:t>
            </w:r>
          </w:p>
        </w:tc>
      </w:tr>
      <w:tr>
        <w:tc>
          <w:tcPr>
            <w:tcW w:type="dxa" w:w="2880"/>
          </w:tcPr>
          <w:p>
            <w:pPr>
              <w:spacing w:after="40"/>
            </w:pPr>
            <w:r>
              <w:rPr>
                <w:sz w:val="18"/>
              </w:rPr>
            </w:r>
            <w:r>
              <w:rPr>
                <w:sz w:val="18"/>
              </w:rPr>
              <w:t>21</w:t>
            </w:r>
          </w:p>
        </w:tc>
        <w:tc>
          <w:tcPr>
            <w:tcW w:type="dxa" w:w="2880"/>
          </w:tcPr>
          <w:p>
            <w:pPr>
              <w:spacing w:after="40"/>
            </w:pPr>
            <w:r>
              <w:rPr>
                <w:sz w:val="18"/>
              </w:rPr>
            </w:r>
            <w:r>
              <w:rPr>
                <w:sz w:val="18"/>
              </w:rPr>
              <w:t>„2 lei/kg pentru cantitățile de ambalaje"</w:t>
            </w:r>
          </w:p>
        </w:tc>
        <w:tc>
          <w:tcPr>
            <w:tcW w:type="dxa" w:w="2880"/>
          </w:tcPr>
          <w:p>
            <w:pPr>
              <w:spacing w:after="40"/>
            </w:pPr>
            <w:r>
              <w:rPr>
                <w:sz w:val="18"/>
              </w:rPr>
            </w:r>
            <w:r>
              <w:rPr>
                <w:sz w:val="18"/>
              </w:rPr>
              <w:t xml:space="preserve">2 lei/kg </w:t>
            </w:r>
            <w:r>
              <w:rPr>
                <w:b/>
                <w:sz w:val="18"/>
              </w:rPr>
              <w:t>doar pe diferența</w:t>
            </w:r>
            <w:r>
              <w:rPr>
                <w:sz w:val="18"/>
              </w:rPr>
              <w:t xml:space="preserve"> neatinsă față de obiectivul de reciclare</w:t>
            </w:r>
          </w:p>
        </w:tc>
      </w:tr>
      <w:tr>
        <w:tc>
          <w:tcPr>
            <w:tcW w:type="dxa" w:w="2880"/>
          </w:tcPr>
          <w:p>
            <w:pPr>
              <w:spacing w:after="40"/>
            </w:pPr>
            <w:r>
              <w:rPr>
                <w:sz w:val="18"/>
              </w:rPr>
            </w:r>
            <w:r>
              <w:rPr>
                <w:sz w:val="18"/>
              </w:rPr>
              <w:t>22</w:t>
            </w:r>
          </w:p>
        </w:tc>
        <w:tc>
          <w:tcPr>
            <w:tcW w:type="dxa" w:w="2880"/>
          </w:tcPr>
          <w:p>
            <w:pPr>
              <w:spacing w:after="40"/>
            </w:pPr>
            <w:r>
              <w:rPr>
                <w:sz w:val="18"/>
              </w:rPr>
            </w:r>
            <w:r>
              <w:rPr>
                <w:sz w:val="18"/>
              </w:rPr>
              <w:t>346 „mai departe trebuie să fac factură"</w:t>
            </w:r>
          </w:p>
        </w:tc>
        <w:tc>
          <w:tcPr>
            <w:tcW w:type="dxa" w:w="2880"/>
          </w:tcPr>
          <w:p>
            <w:pPr>
              <w:spacing w:after="40"/>
            </w:pPr>
            <w:r>
              <w:rPr>
                <w:sz w:val="18"/>
              </w:rPr>
            </w:r>
            <w:r>
              <w:rPr>
                <w:sz w:val="18"/>
              </w:rPr>
              <w:t xml:space="preserve">factura către colectorul de deșeuri intră la </w:t>
            </w:r>
            <w:r>
              <w:rPr>
                <w:b/>
                <w:sz w:val="18"/>
              </w:rPr>
              <w:t>taxare inversă</w:t>
            </w:r>
          </w:p>
        </w:tc>
      </w:tr>
      <w:tr>
        <w:tc>
          <w:tcPr>
            <w:tcW w:type="dxa" w:w="2880"/>
          </w:tcPr>
          <w:p>
            <w:pPr>
              <w:spacing w:after="40"/>
            </w:pPr>
            <w:r>
              <w:rPr>
                <w:sz w:val="18"/>
              </w:rPr>
            </w:r>
            <w:r>
              <w:rPr>
                <w:sz w:val="18"/>
              </w:rPr>
              <w:t>23</w:t>
            </w:r>
          </w:p>
        </w:tc>
        <w:tc>
          <w:tcPr>
            <w:tcW w:type="dxa" w:w="2880"/>
          </w:tcPr>
          <w:p>
            <w:pPr>
              <w:spacing w:after="40"/>
            </w:pPr>
            <w:r>
              <w:rPr>
                <w:sz w:val="18"/>
              </w:rPr>
            </w:r>
            <w:r>
              <w:rPr>
                <w:sz w:val="18"/>
              </w:rPr>
              <w:t>„să vindem integral marfa — ???"</w:t>
            </w:r>
          </w:p>
        </w:tc>
        <w:tc>
          <w:tcPr>
            <w:tcW w:type="dxa" w:w="2880"/>
          </w:tcPr>
          <w:p>
            <w:pPr>
              <w:spacing w:after="40"/>
            </w:pPr>
            <w:r>
              <w:rPr>
                <w:sz w:val="18"/>
              </w:rPr>
            </w:r>
            <w:r>
              <w:rPr>
                <w:sz w:val="18"/>
              </w:rPr>
              <w:t>rezolvat integral în 8.6</w:t>
            </w:r>
          </w:p>
        </w:tc>
      </w:tr>
    </w:tbl>
    <w:p/>
    <w:p>
      <w:pPr>
        <w:spacing w:before="40" w:after="160"/>
        <w:pBdr>
          <w:bottom w:val="single" w:sz="6" w:color="DBE3EA"/>
        </w:pBdr>
      </w:pPr>
    </w:p>
    <w:p>
      <w:pPr>
        <w:pStyle w:val="Heading2"/>
      </w:pPr>
      <w:r>
        <w:t>Anexa D — Rămase deschise</w:t>
      </w:r>
    </w:p>
    <w:p>
      <w:pPr>
        <w:pStyle w:val="ListNumber"/>
      </w:pPr>
      <w:r>
        <w:rPr>
          <w:b/>
        </w:rPr>
        <w:t>Metoda de calculație a costurilor</w:t>
      </w:r>
      <w:r>
        <w:t xml:space="preserve"> — notița menționa „metoda pe comenzi" ca fiind des utilizată. De clarificat: care sunt celelalte metode acceptate de OMFP 1802/2014 și în ce situații se alege fiecare (pe faze, pe produs, standard-cost)?</w:t>
      </w:r>
    </w:p>
    <w:p>
      <w:pPr>
        <w:pStyle w:val="ListNumber"/>
      </w:pPr>
      <w:r>
        <w:rPr>
          <w:b/>
        </w:rPr>
        <w:t>Lipsă la inventar</w:t>
      </w:r>
      <w:r>
        <w:t xml:space="preserve"> — care e practica default în cabinet: colectare sau ajustare? Ce set de documente se cere clientului (proces-verbal, decizie de imputare, notă de constatare)?</w:t>
      </w:r>
    </w:p>
    <w:p>
      <w:pPr>
        <w:pStyle w:val="ListNumber"/>
      </w:pPr>
      <w:r>
        <w:rPr>
          <w:b/>
        </w:rPr>
        <w:t>446 vs. 462 la comisionarul vamal</w:t>
      </w:r>
      <w:r>
        <w:t xml:space="preserve"> — care variantă e standardul cabinetului și de ce?</w:t>
      </w:r>
    </w:p>
    <w:p>
      <w:pPr>
        <w:pStyle w:val="ListNumber"/>
      </w:pPr>
      <w:r>
        <w:rPr>
          <w:b/>
        </w:rPr>
        <w:t>Certificat de amânare la plata TVA în vamă</w:t>
      </w:r>
      <w:r>
        <w:t xml:space="preserve"> — se verifică sistematic dacă clienții importatori îndeplinesc condițiile?</w:t>
      </w:r>
    </w:p>
    <w:p>
      <w:pPr>
        <w:pStyle w:val="ListNumber"/>
      </w:pPr>
      <w:r>
        <w:rPr>
          <w:b/>
        </w:rPr>
        <w:t>Termenul curent de depunere a declarației la AFM</w:t>
      </w:r>
      <w:r>
        <w:t xml:space="preserve"> — s-a modificat de mai multe ori (lunar / trimestrial). De confirmat forma în vigoare.</w:t>
      </w:r>
    </w:p>
    <w:p>
      <w:pPr>
        <w:pStyle w:val="ListNumber"/>
      </w:pPr>
      <w:r>
        <w:rPr>
          <w:b/>
        </w:rPr>
        <w:t>Notița „Fișierul atașat arată corelații importante între conturi"</w:t>
      </w:r>
      <w:r>
        <w:t xml:space="preserve"> și marcajul </w:t>
      </w:r>
      <w:r>
        <w:rPr>
          <w:b/>
        </w:rPr>
        <w:t>„task"</w:t>
      </w:r>
      <w:r>
        <w:t xml:space="preserve"> — au rămas fără conținut în notițele originale. De recuperat de la formator ce fișier / ce sarcină era.</w:t>
      </w:r>
    </w:p>
    <w:p>
      <w:pPr>
        <w:pStyle w:val="ListNumber"/>
      </w:pPr>
      <w:r>
        <w:rPr>
          <w:b/>
        </w:rPr>
        <w:t>Durata de aplicare a taxării inverse</w:t>
      </w:r>
      <w:r>
        <w:t xml:space="preserve"> pentru cereale și electronice — derogarea UE avea termen 31.12.2026. De verificat dacă a fost prelungită.</w:t>
      </w:r>
    </w:p>
    <w:p>
      <w:pPr>
        <w:spacing w:before="40" w:after="160"/>
        <w:pBdr>
          <w:bottom w:val="single" w:sz="6" w:color="DBE3EA"/>
        </w:pBdr>
      </w:pPr>
    </w:p>
    <w:p>
      <w:pPr>
        <w:pStyle w:val="Heading2"/>
      </w:pPr>
      <w:r>
        <w:t>Anexa E — Baza legală citată</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Act</w:t>
            </w:r>
          </w:p>
        </w:tc>
        <w:tc>
          <w:tcPr>
            <w:tcW w:type="dxa" w:w="4320"/>
          </w:tcPr>
          <w:p>
            <w:pPr>
              <w:spacing w:after="40"/>
            </w:pPr>
            <w:r>
              <w:rPr>
                <w:b/>
                <w:sz w:val="18"/>
              </w:rPr>
            </w:r>
            <w:r>
              <w:rPr>
                <w:b/>
                <w:sz w:val="18"/>
              </w:rPr>
              <w:t>Ce reglementează</w:t>
            </w:r>
          </w:p>
        </w:tc>
      </w:tr>
      <w:tr>
        <w:tc>
          <w:tcPr>
            <w:tcW w:type="dxa" w:w="4320"/>
          </w:tcPr>
          <w:p>
            <w:pPr>
              <w:spacing w:after="40"/>
            </w:pPr>
            <w:r>
              <w:rPr>
                <w:sz w:val="18"/>
              </w:rPr>
            </w:r>
            <w:r>
              <w:rPr>
                <w:sz w:val="18"/>
              </w:rPr>
              <w:t>Legea 227/2015 — Codul fiscal</w:t>
            </w:r>
          </w:p>
        </w:tc>
        <w:tc>
          <w:tcPr>
            <w:tcW w:type="dxa" w:w="4320"/>
          </w:tcPr>
          <w:p>
            <w:pPr>
              <w:spacing w:after="40"/>
            </w:pPr>
            <w:r>
              <w:rPr>
                <w:sz w:val="18"/>
              </w:rPr>
            </w:r>
            <w:r>
              <w:rPr>
                <w:sz w:val="18"/>
              </w:rPr>
              <w:t xml:space="preserve">art. 28 (amortizare), 270 (livrări asimilate), 292 (scutiri imobile), 294 (scutiri LIC/export), 298 (limitare 50% auto), 304–305 (ajustări), 316 (înregistrare/anulare TVA), 319 (facturare), </w:t>
            </w:r>
            <w:r>
              <w:rPr>
                <w:b/>
                <w:sz w:val="18"/>
              </w:rPr>
              <w:t>331 (taxare inversă)</w:t>
            </w:r>
          </w:p>
        </w:tc>
      </w:tr>
      <w:tr>
        <w:tc>
          <w:tcPr>
            <w:tcW w:type="dxa" w:w="4320"/>
          </w:tcPr>
          <w:p>
            <w:pPr>
              <w:spacing w:after="40"/>
            </w:pPr>
            <w:r>
              <w:rPr>
                <w:sz w:val="18"/>
              </w:rPr>
            </w:r>
            <w:r>
              <w:rPr>
                <w:b/>
                <w:sz w:val="18"/>
              </w:rPr>
              <w:t>OUG 8/2026</w:t>
            </w:r>
            <w:r>
              <w:rPr>
                <w:sz w:val="18"/>
              </w:rPr>
              <w:t xml:space="preserve"> (M.Of. 147/25.02.2026)</w:t>
            </w:r>
          </w:p>
        </w:tc>
        <w:tc>
          <w:tcPr>
            <w:tcW w:type="dxa" w:w="4320"/>
          </w:tcPr>
          <w:p>
            <w:pPr>
              <w:spacing w:after="40"/>
            </w:pPr>
            <w:r>
              <w:rPr>
                <w:sz w:val="18"/>
              </w:rPr>
            </w:r>
            <w:r>
              <w:rPr>
                <w:sz w:val="18"/>
              </w:rPr>
              <w:t>majorarea pragului mijloacelor fixe la 5.000 lei</w:t>
            </w:r>
          </w:p>
        </w:tc>
      </w:tr>
      <w:tr>
        <w:tc>
          <w:tcPr>
            <w:tcW w:type="dxa" w:w="4320"/>
          </w:tcPr>
          <w:p>
            <w:pPr>
              <w:spacing w:after="40"/>
            </w:pPr>
            <w:r>
              <w:rPr>
                <w:sz w:val="18"/>
              </w:rPr>
            </w:r>
            <w:r>
              <w:rPr>
                <w:b/>
                <w:sz w:val="18"/>
              </w:rPr>
              <w:t>Legea 141/2025</w:t>
            </w:r>
            <w:r>
              <w:rPr>
                <w:sz w:val="18"/>
              </w:rPr>
              <w:t xml:space="preserve"> (M.Of. 699/25.07.2025)</w:t>
            </w:r>
          </w:p>
        </w:tc>
        <w:tc>
          <w:tcPr>
            <w:tcW w:type="dxa" w:w="4320"/>
          </w:tcPr>
          <w:p>
            <w:pPr>
              <w:spacing w:after="40"/>
            </w:pPr>
            <w:r>
              <w:rPr>
                <w:sz w:val="18"/>
              </w:rPr>
            </w:r>
            <w:r>
              <w:rPr>
                <w:sz w:val="18"/>
              </w:rPr>
              <w:t>cotele de TVA 21% / 11%, de la 01.08.2025</w:t>
            </w:r>
          </w:p>
        </w:tc>
      </w:tr>
      <w:tr>
        <w:tc>
          <w:tcPr>
            <w:tcW w:type="dxa" w:w="4320"/>
          </w:tcPr>
          <w:p>
            <w:pPr>
              <w:spacing w:after="40"/>
            </w:pPr>
            <w:r>
              <w:rPr>
                <w:sz w:val="18"/>
              </w:rPr>
            </w:r>
            <w:r>
              <w:rPr>
                <w:sz w:val="18"/>
              </w:rPr>
              <w:t>OMFP 1802/2014</w:t>
            </w:r>
          </w:p>
        </w:tc>
        <w:tc>
          <w:tcPr>
            <w:tcW w:type="dxa" w:w="4320"/>
          </w:tcPr>
          <w:p>
            <w:pPr>
              <w:spacing w:after="40"/>
            </w:pPr>
            <w:r>
              <w:rPr>
                <w:sz w:val="18"/>
              </w:rPr>
            </w:r>
            <w:r>
              <w:rPr>
                <w:sz w:val="18"/>
              </w:rPr>
              <w:t>reglementările contabile, planul de conturi, costul de achiziție și de producție</w:t>
            </w:r>
          </w:p>
        </w:tc>
      </w:tr>
      <w:tr>
        <w:tc>
          <w:tcPr>
            <w:tcW w:type="dxa" w:w="4320"/>
          </w:tcPr>
          <w:p>
            <w:pPr>
              <w:spacing w:after="40"/>
            </w:pPr>
            <w:r>
              <w:rPr>
                <w:sz w:val="18"/>
              </w:rPr>
            </w:r>
            <w:r>
              <w:rPr>
                <w:sz w:val="18"/>
              </w:rPr>
              <w:t>OUG 196/2005 + Legea 249/2015</w:t>
            </w:r>
          </w:p>
        </w:tc>
        <w:tc>
          <w:tcPr>
            <w:tcW w:type="dxa" w:w="4320"/>
          </w:tcPr>
          <w:p>
            <w:pPr>
              <w:spacing w:after="40"/>
            </w:pPr>
            <w:r>
              <w:rPr>
                <w:sz w:val="18"/>
              </w:rPr>
            </w:r>
            <w:r>
              <w:rPr>
                <w:sz w:val="18"/>
              </w:rPr>
              <w:t>Fondul pentru mediu, ambalaje, contribuția de 2 lei/kg</w:t>
            </w:r>
          </w:p>
        </w:tc>
      </w:tr>
      <w:tr>
        <w:tc>
          <w:tcPr>
            <w:tcW w:type="dxa" w:w="4320"/>
          </w:tcPr>
          <w:p>
            <w:pPr>
              <w:spacing w:after="40"/>
            </w:pPr>
            <w:r>
              <w:rPr>
                <w:sz w:val="18"/>
              </w:rPr>
            </w:r>
            <w:r>
              <w:rPr>
                <w:sz w:val="18"/>
              </w:rPr>
              <w:t>Ordinul 3769/2015</w:t>
            </w:r>
          </w:p>
        </w:tc>
        <w:tc>
          <w:tcPr>
            <w:tcW w:type="dxa" w:w="4320"/>
          </w:tcPr>
          <w:p>
            <w:pPr>
              <w:spacing w:after="40"/>
            </w:pPr>
            <w:r>
              <w:rPr>
                <w:sz w:val="18"/>
              </w:rPr>
            </w:r>
            <w:r>
              <w:rPr>
                <w:sz w:val="18"/>
              </w:rPr>
              <w:t>formularul D394</w:t>
            </w:r>
          </w:p>
        </w:tc>
      </w:tr>
    </w:tbl>
    <w:p/>
    <w:p>
      <w:pPr>
        <w:spacing w:before="40" w:after="160"/>
        <w:pBdr>
          <w:bottom w:val="single" w:sz="6" w:color="DBE3EA"/>
        </w:pBdr>
      </w:pPr>
    </w:p>
    <w:p>
      <w:pPr>
        <w:jc w:val="both"/>
      </w:pPr>
      <w:r>
        <w:rPr>
          <w:i/>
        </w:rPr>
        <w:t>Document revizuit pe baza notițelor din 14.08.2026. Verificările legislative au fost făcute la data revizuirii — reconfirmă orice prag sau cotă înainte de aplicare la un caz concret.</w:t>
      </w:r>
    </w:p>
    <w:p>
      <w:pPr>
        <w:spacing w:before="40" w:after="160"/>
        <w:pBdr>
          <w:bottom w:val="single" w:sz="6" w:color="DBE3EA"/>
        </w:pBdr>
      </w:pPr>
    </w:p>
    <w:p>
      <w:pPr>
        <w:pStyle w:val="Heading2"/>
      </w:pPr>
      <w:r>
        <w:t>Anexa F — Erori din notițele brute, NEreintroduse</w:t>
      </w:r>
    </w:p>
    <w:p>
      <w:pPr>
        <w:jc w:val="both"/>
      </w:pPr>
      <w:r>
        <w:t>Erorile de mai jos existau în notițele brute și au fost corectate</w:t>
      </w:r>
    </w:p>
    <w:p>
      <w:pPr>
        <w:jc w:val="both"/>
      </w:pPr>
      <w:r>
        <w:t>la revizuire. Sunt enumerate aici ca să nu fie reintroduse dacă cineva reia notițele</w:t>
      </w:r>
    </w:p>
    <w:p>
      <w:pPr>
        <w:jc w:val="both"/>
      </w:pPr>
      <w:r>
        <w:t>originale.</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Eroare în notițele brute</w:t>
            </w:r>
          </w:p>
        </w:tc>
        <w:tc>
          <w:tcPr>
            <w:tcW w:type="dxa" w:w="4320"/>
          </w:tcPr>
          <w:p>
            <w:pPr>
              <w:spacing w:after="40"/>
            </w:pPr>
            <w:r>
              <w:rPr>
                <w:b/>
                <w:sz w:val="18"/>
              </w:rPr>
            </w:r>
            <w:r>
              <w:rPr>
                <w:b/>
                <w:sz w:val="18"/>
              </w:rPr>
              <w:t>Corect</w:t>
            </w:r>
          </w:p>
        </w:tc>
      </w:tr>
      <w:tr>
        <w:tc>
          <w:tcPr>
            <w:tcW w:type="dxa" w:w="4320"/>
          </w:tcPr>
          <w:p>
            <w:pPr>
              <w:spacing w:after="40"/>
            </w:pPr>
            <w:r>
              <w:rPr>
                <w:sz w:val="18"/>
              </w:rPr>
            </w:r>
            <w:r>
              <w:rPr>
                <w:rFonts w:ascii="Consolas" w:hAnsi="Consolas"/>
                <w:color w:val="1F4E79"/>
                <w:sz w:val="18"/>
              </w:rPr>
              <w:t>7815</w:t>
            </w:r>
            <w:r>
              <w:rPr>
                <w:sz w:val="18"/>
              </w:rPr>
              <w:t xml:space="preserve"> ca reluare a amortizării</w:t>
            </w:r>
          </w:p>
        </w:tc>
        <w:tc>
          <w:tcPr>
            <w:tcW w:type="dxa" w:w="4320"/>
          </w:tcPr>
          <w:p>
            <w:pPr>
              <w:spacing w:after="40"/>
            </w:pPr>
            <w:r>
              <w:rPr>
                <w:sz w:val="18"/>
              </w:rPr>
            </w:r>
            <w:r>
              <w:rPr>
                <w:sz w:val="18"/>
              </w:rPr>
              <w:t xml:space="preserve">Contul nu există. Amortizarea se înregistrează </w:t>
            </w:r>
            <w:r>
              <w:rPr>
                <w:rFonts w:ascii="Consolas" w:hAnsi="Consolas"/>
                <w:color w:val="1F4E79"/>
                <w:sz w:val="18"/>
              </w:rPr>
              <w:t>6811 = 2805/2808</w:t>
            </w:r>
          </w:p>
        </w:tc>
      </w:tr>
      <w:tr>
        <w:tc>
          <w:tcPr>
            <w:tcW w:type="dxa" w:w="4320"/>
          </w:tcPr>
          <w:p>
            <w:pPr>
              <w:spacing w:after="40"/>
            </w:pPr>
            <w:r>
              <w:rPr>
                <w:sz w:val="18"/>
              </w:rPr>
            </w:r>
            <w:r>
              <w:rPr>
                <w:sz w:val="18"/>
              </w:rPr>
              <w:t xml:space="preserve">Taxele vamale pe </w:t>
            </w:r>
            <w:r>
              <w:rPr>
                <w:rFonts w:ascii="Consolas" w:hAnsi="Consolas"/>
                <w:color w:val="1F4E79"/>
                <w:sz w:val="18"/>
              </w:rPr>
              <w:t>635</w:t>
            </w:r>
          </w:p>
        </w:tc>
        <w:tc>
          <w:tcPr>
            <w:tcW w:type="dxa" w:w="4320"/>
          </w:tcPr>
          <w:p>
            <w:pPr>
              <w:spacing w:after="40"/>
            </w:pPr>
            <w:r>
              <w:rPr>
                <w:sz w:val="18"/>
              </w:rPr>
            </w:r>
            <w:r>
              <w:rPr>
                <w:sz w:val="18"/>
              </w:rPr>
              <w:t>Se capitalizează în costul bunului (OMFP 1802/2014)</w:t>
            </w:r>
          </w:p>
        </w:tc>
      </w:tr>
      <w:tr>
        <w:tc>
          <w:tcPr>
            <w:tcW w:type="dxa" w:w="4320"/>
          </w:tcPr>
          <w:p>
            <w:pPr>
              <w:spacing w:after="40"/>
            </w:pPr>
            <w:r>
              <w:rPr>
                <w:sz w:val="18"/>
              </w:rPr>
            </w:r>
            <w:r>
              <w:rPr>
                <w:sz w:val="18"/>
              </w:rPr>
              <w:t xml:space="preserve">Softul dezvoltat intern prin </w:t>
            </w:r>
            <w:r>
              <w:rPr>
                <w:rFonts w:ascii="Consolas" w:hAnsi="Consolas"/>
                <w:color w:val="1F4E79"/>
                <w:sz w:val="18"/>
              </w:rPr>
              <w:t>711</w:t>
            </w:r>
          </w:p>
        </w:tc>
        <w:tc>
          <w:tcPr>
            <w:tcW w:type="dxa" w:w="4320"/>
          </w:tcPr>
          <w:p>
            <w:pPr>
              <w:spacing w:after="40"/>
            </w:pPr>
            <w:r>
              <w:rPr>
                <w:sz w:val="18"/>
              </w:rPr>
            </w:r>
            <w:r>
              <w:rPr>
                <w:sz w:val="18"/>
              </w:rPr>
              <w:t xml:space="preserve">Imobilizare necorporală: </w:t>
            </w:r>
            <w:r>
              <w:rPr>
                <w:rFonts w:ascii="Consolas" w:hAnsi="Consolas"/>
                <w:color w:val="1F4E79"/>
                <w:sz w:val="18"/>
              </w:rPr>
              <w:t>233 → 721 → 203/208</w:t>
            </w:r>
          </w:p>
        </w:tc>
      </w:tr>
      <w:tr>
        <w:tc>
          <w:tcPr>
            <w:tcW w:type="dxa" w:w="4320"/>
          </w:tcPr>
          <w:p>
            <w:pPr>
              <w:spacing w:after="40"/>
            </w:pPr>
            <w:r>
              <w:rPr>
                <w:sz w:val="18"/>
              </w:rPr>
            </w:r>
            <w:r>
              <w:rPr>
                <w:sz w:val="18"/>
              </w:rPr>
              <w:t xml:space="preserve">Salariile capitalizate în </w:t>
            </w:r>
            <w:r>
              <w:rPr>
                <w:rFonts w:ascii="Consolas" w:hAnsi="Consolas"/>
                <w:color w:val="1F4E79"/>
                <w:sz w:val="18"/>
              </w:rPr>
              <w:t>231</w:t>
            </w:r>
            <w:r>
              <w:rPr>
                <w:sz w:val="18"/>
              </w:rPr>
              <w:t xml:space="preserve"> prin </w:t>
            </w:r>
            <w:r>
              <w:rPr>
                <w:rFonts w:ascii="Consolas" w:hAnsi="Consolas"/>
                <w:color w:val="1F4E79"/>
                <w:sz w:val="18"/>
              </w:rPr>
              <w:t>711</w:t>
            </w:r>
          </w:p>
        </w:tc>
        <w:tc>
          <w:tcPr>
            <w:tcW w:type="dxa" w:w="4320"/>
          </w:tcPr>
          <w:p>
            <w:pPr>
              <w:spacing w:after="40"/>
            </w:pPr>
            <w:r>
              <w:rPr>
                <w:sz w:val="18"/>
              </w:rPr>
            </w:r>
            <w:r>
              <w:rPr>
                <w:sz w:val="18"/>
              </w:rPr>
              <w:t xml:space="preserve">Prin </w:t>
            </w:r>
            <w:r>
              <w:rPr>
                <w:rFonts w:ascii="Consolas" w:hAnsi="Consolas"/>
                <w:color w:val="1F4E79"/>
                <w:sz w:val="18"/>
              </w:rPr>
              <w:t>722</w:t>
            </w:r>
            <w:r>
              <w:rPr>
                <w:sz w:val="18"/>
              </w:rPr>
              <w:t xml:space="preserve"> — producție de imobilizări corporale</w:t>
            </w:r>
          </w:p>
        </w:tc>
      </w:tr>
      <w:tr>
        <w:tc>
          <w:tcPr>
            <w:tcW w:type="dxa" w:w="4320"/>
          </w:tcPr>
          <w:p>
            <w:pPr>
              <w:spacing w:after="40"/>
            </w:pPr>
            <w:r>
              <w:rPr>
                <w:sz w:val="18"/>
              </w:rPr>
            </w:r>
            <w:r>
              <w:rPr>
                <w:rFonts w:ascii="Consolas" w:hAnsi="Consolas"/>
                <w:color w:val="1F4E79"/>
                <w:sz w:val="18"/>
              </w:rPr>
              <w:t>2114</w:t>
            </w:r>
            <w:r>
              <w:rPr>
                <w:sz w:val="18"/>
              </w:rPr>
              <w:t xml:space="preserve"> ca mobilier</w:t>
            </w:r>
          </w:p>
        </w:tc>
        <w:tc>
          <w:tcPr>
            <w:tcW w:type="dxa" w:w="4320"/>
          </w:tcPr>
          <w:p>
            <w:pPr>
              <w:spacing w:after="40"/>
            </w:pPr>
            <w:r>
              <w:rPr>
                <w:sz w:val="18"/>
              </w:rPr>
            </w:r>
            <w:r>
              <w:rPr>
                <w:sz w:val="18"/>
              </w:rPr>
              <w:t xml:space="preserve">Contul este </w:t>
            </w:r>
            <w:r>
              <w:rPr>
                <w:rFonts w:ascii="Consolas" w:hAnsi="Consolas"/>
                <w:color w:val="1F4E79"/>
                <w:sz w:val="18"/>
              </w:rPr>
              <w:t>214</w:t>
            </w:r>
          </w:p>
        </w:tc>
      </w:tr>
      <w:tr>
        <w:tc>
          <w:tcPr>
            <w:tcW w:type="dxa" w:w="4320"/>
          </w:tcPr>
          <w:p>
            <w:pPr>
              <w:spacing w:after="40"/>
            </w:pPr>
            <w:r>
              <w:rPr>
                <w:sz w:val="18"/>
              </w:rPr>
            </w:r>
            <w:r>
              <w:rPr>
                <w:sz w:val="18"/>
              </w:rPr>
              <w:t xml:space="preserve">CASCO nedeductibil pe </w:t>
            </w:r>
            <w:r>
              <w:rPr>
                <w:rFonts w:ascii="Consolas" w:hAnsi="Consolas"/>
                <w:color w:val="1F4E79"/>
                <w:sz w:val="18"/>
              </w:rPr>
              <w:t>615</w:t>
            </w:r>
          </w:p>
        </w:tc>
        <w:tc>
          <w:tcPr>
            <w:tcW w:type="dxa" w:w="4320"/>
          </w:tcPr>
          <w:p>
            <w:pPr>
              <w:spacing w:after="40"/>
            </w:pPr>
            <w:r>
              <w:rPr>
                <w:sz w:val="18"/>
              </w:rPr>
            </w:r>
            <w:r>
              <w:rPr>
                <w:sz w:val="18"/>
              </w:rPr>
              <w:t xml:space="preserve">Pe </w:t>
            </w:r>
            <w:r>
              <w:rPr>
                <w:rFonts w:ascii="Consolas" w:hAnsi="Consolas"/>
                <w:color w:val="1F4E79"/>
                <w:sz w:val="18"/>
              </w:rPr>
              <w:t>613.NED</w:t>
            </w:r>
            <w:r>
              <w:rPr>
                <w:sz w:val="18"/>
              </w:rPr>
              <w:t xml:space="preserve"> — partea nedeductibilă a asigurării</w:t>
            </w:r>
          </w:p>
        </w:tc>
      </w:tr>
      <w:tr>
        <w:tc>
          <w:tcPr>
            <w:tcW w:type="dxa" w:w="4320"/>
          </w:tcPr>
          <w:p>
            <w:pPr>
              <w:spacing w:after="40"/>
            </w:pPr>
            <w:r>
              <w:rPr>
                <w:sz w:val="18"/>
              </w:rPr>
            </w:r>
            <w:r>
              <w:rPr>
                <w:rFonts w:ascii="Consolas" w:hAnsi="Consolas"/>
                <w:color w:val="1F4E79"/>
                <w:sz w:val="18"/>
              </w:rPr>
              <w:t>1067</w:t>
            </w:r>
            <w:r>
              <w:rPr>
                <w:sz w:val="18"/>
              </w:rPr>
              <w:t xml:space="preserve"> la leasing</w:t>
            </w:r>
          </w:p>
        </w:tc>
        <w:tc>
          <w:tcPr>
            <w:tcW w:type="dxa" w:w="4320"/>
          </w:tcPr>
          <w:p>
            <w:pPr>
              <w:spacing w:after="40"/>
            </w:pPr>
            <w:r>
              <w:rPr>
                <w:sz w:val="18"/>
              </w:rPr>
            </w:r>
            <w:r>
              <w:rPr>
                <w:sz w:val="18"/>
              </w:rPr>
              <w:t xml:space="preserve">Contul este </w:t>
            </w:r>
            <w:r>
              <w:rPr>
                <w:rFonts w:ascii="Consolas" w:hAnsi="Consolas"/>
                <w:color w:val="1F4E79"/>
                <w:sz w:val="18"/>
              </w:rPr>
              <w:t>167</w:t>
            </w:r>
          </w:p>
        </w:tc>
      </w:tr>
      <w:tr>
        <w:tc>
          <w:tcPr>
            <w:tcW w:type="dxa" w:w="4320"/>
          </w:tcPr>
          <w:p>
            <w:pPr>
              <w:spacing w:after="40"/>
            </w:pPr>
            <w:r>
              <w:rPr>
                <w:sz w:val="18"/>
              </w:rPr>
            </w:r>
            <w:r>
              <w:rPr>
                <w:rFonts w:ascii="Consolas" w:hAnsi="Consolas"/>
                <w:color w:val="1F4E79"/>
                <w:sz w:val="18"/>
              </w:rPr>
              <w:t>4424</w:t>
            </w:r>
            <w:r>
              <w:rPr>
                <w:sz w:val="18"/>
              </w:rPr>
              <w:t xml:space="preserve"> la corecția TVA nedeductibilă</w:t>
            </w:r>
          </w:p>
        </w:tc>
        <w:tc>
          <w:tcPr>
            <w:tcW w:type="dxa" w:w="4320"/>
          </w:tcPr>
          <w:p>
            <w:pPr>
              <w:spacing w:after="40"/>
            </w:pPr>
            <w:r>
              <w:rPr>
                <w:sz w:val="18"/>
              </w:rPr>
            </w:r>
            <w:r>
              <w:rPr>
                <w:sz w:val="18"/>
              </w:rPr>
              <w:t xml:space="preserve">Contul este </w:t>
            </w:r>
            <w:r>
              <w:rPr>
                <w:rFonts w:ascii="Consolas" w:hAnsi="Consolas"/>
                <w:color w:val="1F4E79"/>
                <w:sz w:val="18"/>
              </w:rPr>
              <w:t>4426</w:t>
            </w:r>
          </w:p>
        </w:tc>
      </w:tr>
    </w:tbl>
    <w:p/>
    <w:p>
      <w:pPr>
        <w:spacing w:before="40" w:after="160"/>
        <w:pBdr>
          <w:bottom w:val="single" w:sz="6" w:color="DBE3EA"/>
        </w:pBdr>
      </w:pPr>
    </w:p>
    <w:p>
      <w:pPr>
        <w:jc w:val="both"/>
      </w:pPr>
      <w:r>
        <w:rPr>
          <w:i/>
        </w:rPr>
        <w:t>Singurul dintre cele trei care avea deja anexele denumite. Primește Anexa F, care exista doar ca notă în foaia Legendă a workbook-ului.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