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19.08.2026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jc w:val="both"/>
      </w:pPr>
      <w:r>
        <w:rPr>
          <w:b/>
        </w:rPr>
        <w:t>❓ Care e plafonul legal al sumei care se poate imputa unui salariat pentru o pagubă produsă, și în ce ritm se poate reține din salariu?</w:t>
      </w:r>
    </w:p>
    <w:p>
      <w:pPr>
        <w:jc w:val="both"/>
      </w:pPr>
      <w:r>
        <w:rPr>
          <w:i/>
        </w:rPr>
        <w:t>Salarii — praguri și baze de calcul · training 26.08.2026, punctul 1</w:t>
      </w:r>
    </w:p>
    <w:p>
      <w:pPr>
        <w:jc w:val="both"/>
      </w:pPr>
      <w:r>
        <w:t>Notițele din 26.08 menționează un plafon „la nivelul a 5 salarii medii”, cu observația formatorului însuși: „de verificat suma”. Separat, notițele spun că imputația nu se poate face fără ca salariatul să fie informat și de acord — Codul muncii.</w:t>
      </w:r>
    </w:p>
    <w:p>
      <w:pPr>
        <w:jc w:val="both"/>
      </w:pPr>
      <w:r>
        <w:rPr>
          <w:b/>
        </w:rPr>
        <w:t>Ce am presupus între timp:</w:t>
      </w:r>
      <w:r>
        <w:t xml:space="preserve"> Am modelat imputația integrală, cu reținere într-o singură lună, pentru că exemplul din notițe e de 1.000 lei — sub orice plafon plauzibil. Pasul poartă ❓. De verificat art. 254 (răspunderea patrimonială) și art. 169 (reținerile din salariu) din Codul muncii.</w:t>
      </w:r>
    </w:p>
    <w:p>
      <w:pPr>
        <w:jc w:val="both"/>
      </w:pPr>
      <w:r>
        <w:rPr>
          <w:b/>
        </w:rPr>
        <w:t>❓ Sumele stabilite prin decizie de impunere pe TVA se înregistrează în 4423 cu analitic distinct, sau în 4481?</w:t>
      </w:r>
    </w:p>
    <w:p>
      <w:pPr>
        <w:jc w:val="both"/>
      </w:pPr>
      <w:r>
        <w:rPr>
          <w:i/>
        </w:rPr>
        <w:t>Acte de control — 4423 sau 4481 · training 26.08.2026, punctul 3</w:t>
      </w:r>
    </w:p>
    <w:p>
      <w:pPr>
        <w:jc w:val="both"/>
      </w:pPr>
      <w:r>
        <w:t>Cele două traininguri spun exact invers, la cinci zile distanță. 21.08: „se înregistrează în 4423 cu analitic distinct, tocmai ca să nu ajungă din greșeală în decontul lunii următoare”. 26.08: „nu mă duc prin 4423, pentru că denaturează rulajul curent — și mă duc prin 4481”.</w:t>
      </w:r>
    </w:p>
    <w:p>
      <w:pPr>
        <w:jc w:val="both"/>
      </w:pPr>
      <w:r>
        <w:rPr>
          <w:b/>
        </w:rPr>
        <w:t>Ce am presupus între timp:</w:t>
      </w:r>
      <w:r>
        <w:t xml:space="preserve"> Am adoptat varianta din 26.08, pentru că e singura care dă un motiv verificabil: un analitic separă EVIDENȚA, dar nu separă SOLDUL, iar decontul se compară pe soldul sintetic al lui 4423. F-421 e rescris pe 4481, cu ❓ pe el. Dacă formatorul confirmă varianta din 21.08, fluxul se întoarce — dar atunci trebuie explicat cum rămâne corelația decont ↔ balanță valabilă, pentru că azi nu văd cum.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