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Capitaluri, credite, leasing și provizioane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07.08.2026 · adâncit cu 19.08.2026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✅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2.1 Închiderea conturilor de cheltuieli și venituri</w:t>
      </w:r>
    </w:p>
    <w:p>
      <w:pPr>
        <w:ind w:left="280"/>
      </w:pPr>
      <w:r>
        <w:rPr>
          <w:rFonts w:ascii="Consolas" w:hAnsi="Consolas"/>
          <w:sz w:val="18"/>
        </w:rPr>
        <w:t>121  = 607    ·  20.000</w:t>
        <w:br/>
        <w:t>707  = 121    ·  24.000</w:t>
      </w:r>
    </w:p>
    <w:p>
      <w:pPr>
        <w:jc w:val="both"/>
      </w:pPr>
      <w:r>
        <w:t xml:space="preserve">Rezultatul contabil: 121 are sold </w:t>
      </w:r>
      <w:r>
        <w:rPr>
          <w:b/>
        </w:rPr>
        <w:t>creditor de 4.000</w:t>
      </w:r>
      <w:r>
        <w:t xml:space="preserve"> lei — profitul pe care se calculează impozitul.</w:t>
      </w:r>
    </w:p>
    <w:p>
      <w:pPr>
        <w:pStyle w:val="Heading3"/>
      </w:pPr>
      <w:r>
        <w:t>2.2 Impozitul pe profit</w:t>
      </w:r>
    </w:p>
    <w:p>
      <w:pPr>
        <w:jc w:val="both"/>
      </w:pPr>
      <w:r>
        <w:t xml:space="preserve">Cota este </w:t>
      </w:r>
      <w:r>
        <w:rPr>
          <w:b/>
        </w:rPr>
        <w:t>16%</w:t>
      </w:r>
      <w:r>
        <w:t xml:space="preserve">, aplicată la baza impozabilă. Cei 4.000 lei sunt </w:t>
      </w:r>
      <w:r>
        <w:rPr>
          <w:b/>
        </w:rPr>
        <w:t>baza</w:t>
      </w:r>
      <w:r>
        <w:t>, nu impozitul:</w:t>
      </w:r>
    </w:p>
    <w:p>
      <w:pPr>
        <w:ind w:left="360"/>
      </w:pPr>
      <w:r>
        <w:rPr>
          <w:i/>
          <w:color w:val="5D6E7E"/>
        </w:rPr>
        <w:t xml:space="preserve">16% × 4.000 = </w:t>
      </w:r>
      <w:r>
        <w:rPr>
          <w:b/>
          <w:i/>
          <w:color w:val="5D6E7E"/>
        </w:rPr>
        <w:t>640 lei</w:t>
      </w:r>
    </w:p>
    <w:p>
      <w:pPr>
        <w:ind w:left="280"/>
      </w:pPr>
      <w:r>
        <w:rPr>
          <w:rFonts w:ascii="Consolas" w:hAnsi="Consolas"/>
          <w:sz w:val="18"/>
        </w:rPr>
        <w:t>691  = 4411   ·     640     (cheltuiala cu impozitul pe profit)</w:t>
        <w:br/>
        <w:t>121  = 691    ·     640     (închiderea contului de cheltuială)</w:t>
      </w:r>
    </w:p>
    <w:p>
      <w:pPr>
        <w:jc w:val="both"/>
      </w:pPr>
      <w:r>
        <w:t xml:space="preserve">Profitul net rămâne 4.000 − 640 = </w:t>
      </w:r>
      <w:r>
        <w:rPr>
          <w:b/>
        </w:rPr>
        <w:t>3.360 lei</w:t>
      </w:r>
      <w:r>
        <w:t>.</w:t>
      </w:r>
    </w:p>
    <w:p>
      <w:pPr>
        <w:ind w:left="360"/>
      </w:pPr>
      <w:r>
        <w:rPr>
          <w:i/>
          <w:color w:val="5D6E7E"/>
        </w:rPr>
        <w:t xml:space="preserve">Contul sintetic este </w:t>
      </w:r>
      <w:r>
        <w:rPr>
          <w:b/>
          <w:i/>
          <w:color w:val="5D6E7E"/>
        </w:rPr>
        <w:t>441</w:t>
      </w:r>
      <w:r>
        <w:rPr>
          <w:i/>
          <w:color w:val="5D6E7E"/>
        </w:rPr>
        <w:t xml:space="preserve"> </w:t>
      </w:r>
      <w:r>
        <w:rPr>
          <w:i/>
          <w:color w:val="5D6E7E"/>
        </w:rPr>
        <w:t>Impozitul pe profit și alte impozite</w:t>
      </w:r>
      <w:r>
        <w:rPr>
          <w:i/>
          <w:color w:val="5D6E7E"/>
        </w:rPr>
        <w:t xml:space="preserve">; pentru impozitul pe profit se folosește analiticul </w:t>
      </w:r>
      <w:r>
        <w:rPr>
          <w:b/>
          <w:i/>
          <w:color w:val="5D6E7E"/>
        </w:rPr>
        <w:t>4411</w:t>
      </w:r>
      <w:r>
        <w:rPr>
          <w:i/>
          <w:color w:val="5D6E7E"/>
        </w:rP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✅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12. Impozit pe profit sau impozit pe venit (micro)</w:t>
      </w:r>
    </w:p>
    <w:p>
      <w:pPr>
        <w:pStyle w:val="Heading3"/>
      </w:pPr>
      <w:r>
        <w:t>12.1 Impozitul pe profit</w:t>
      </w:r>
    </w:p>
    <w:p>
      <w:pPr>
        <w:jc w:val="both"/>
      </w:pPr>
      <w:r>
        <w:t>Cota este 16%, aplicată la baza impozabilă:</w:t>
      </w:r>
    </w:p>
    <w:p>
      <w:pPr>
        <w:ind w:left="280"/>
      </w:pPr>
      <w:r>
        <w:rPr>
          <w:rFonts w:ascii="Consolas" w:hAnsi="Consolas"/>
          <w:sz w:val="18"/>
        </w:rPr>
        <w:t>691  = 441                  (cheltuiala cu impozitul pe profit)</w:t>
      </w:r>
    </w:p>
    <w:p>
      <w:pPr>
        <w:pStyle w:val="Heading3"/>
      </w:pPr>
      <w:r>
        <w:t>12.2 Condițiile pentru microîntreprindere</w:t>
      </w:r>
    </w:p>
    <w:p>
      <w:pPr>
        <w:jc w:val="both"/>
      </w:pPr>
      <w:r>
        <w:t>Ambele trebuie îndeplinite:</w:t>
      </w:r>
    </w:p>
    <w:p>
      <w:pPr>
        <w:pStyle w:val="ListNumber"/>
      </w:pPr>
      <w:r>
        <w:rPr>
          <w:b/>
        </w:rPr>
        <w:t>cel puțin un salariat cu normă întreagă</w:t>
      </w:r>
      <w:r>
        <w:t xml:space="preserve"> — sau un contract de mandat, obligatoriu</w:t>
      </w:r>
    </w:p>
    <w:p>
      <w:pPr>
        <w:jc w:val="both"/>
      </w:pPr>
      <w:r>
        <w:t>cel puțin la nivelul salariului minim. Contractul de mandat se încheie prin avocat și</w:t>
      </w:r>
    </w:p>
    <w:p>
      <w:pPr>
        <w:jc w:val="both"/>
      </w:pPr>
      <w:r>
        <w:rPr>
          <w:b/>
        </w:rPr>
        <w:t>nu se înregistrează în REGES</w:t>
      </w:r>
      <w:r>
        <w:t>;</w:t>
      </w:r>
    </w:p>
    <w:p>
      <w:pPr>
        <w:pStyle w:val="ListNumber"/>
      </w:pPr>
      <w:r>
        <w:rPr>
          <w:b/>
        </w:rPr>
        <w:t>venituri totale sub 100.000 EUR</w:t>
      </w:r>
      <w:r>
        <w:t xml:space="preserve"> ✅, calculate la cursul de la închiderea</w:t>
      </w:r>
    </w:p>
    <w:p>
      <w:pPr>
        <w:jc w:val="both"/>
      </w:pPr>
      <w:r>
        <w:t xml:space="preserve">exercițiului anterior. Pragul e din Codul fiscal, nu din OMFP, și a coborât în trepte: 500.000 până în 2024, 250.000 în 2025, </w:t>
      </w:r>
      <w:r>
        <w:rPr>
          <w:b/>
        </w:rPr>
        <w:t>100.000 din 2026</w:t>
      </w:r>
      <w:r>
        <w:t>.</w:t>
      </w:r>
    </w:p>
    <w:p>
      <w:pPr>
        <w:jc w:val="both"/>
      </w:pPr>
      <w:r>
        <w:t xml:space="preserve">✅ Cota este </w:t>
      </w:r>
      <w:r>
        <w:rPr>
          <w:b/>
        </w:rPr>
        <w:t>1%</w:t>
      </w:r>
      <w:r>
        <w:t xml:space="preserve">, unică: cota de 3% pentru firmele fără salariat a fost </w:t>
      </w:r>
      <w:r>
        <w:rPr>
          <w:b/>
        </w:rPr>
        <w:t>eliminată de la 1 ianuarie 2026</w:t>
      </w:r>
      <w:r>
        <w:t>.</w:t>
      </w:r>
    </w:p>
    <w:p>
      <w:pPr>
        <w:ind w:left="280"/>
      </w:pPr>
      <w:r>
        <w:rPr>
          <w:rFonts w:ascii="Consolas" w:hAnsi="Consolas"/>
          <w:sz w:val="18"/>
        </w:rPr>
        <w:t>698  = 4418                 (impozitul pe venitul microîntreprinderii)</w:t>
      </w:r>
    </w:p>
    <w:p>
      <w:pPr>
        <w:jc w:val="both"/>
      </w:pPr>
      <w:r>
        <w:t xml:space="preserve">⚠️ </w:t>
      </w:r>
      <w:r>
        <w:rPr>
          <w:b/>
        </w:rPr>
        <w:t>Notița scria `6918`.</w:t>
      </w:r>
      <w:r>
        <w:t xml:space="preserve"> Contul nu există. Corect este </w:t>
      </w:r>
      <w:r>
        <w:rPr>
          <w:b/>
        </w:rPr>
        <w:t>698</w:t>
      </w:r>
      <w:r>
        <w:t>, „Cheltuieli cu</w:t>
      </w:r>
    </w:p>
    <w:p>
      <w:pPr>
        <w:jc w:val="both"/>
      </w:pPr>
      <w:r>
        <w:t>impozitul pe venit și cu alte impozite care nu apar în elementele de mai sus”. Nu poate</w:t>
      </w:r>
    </w:p>
    <w:p>
      <w:pPr>
        <w:jc w:val="both"/>
      </w:pPr>
      <w:r>
        <w:t xml:space="preserve">fi un analitic al lui 691: 691 este impozit pe </w:t>
      </w:r>
      <w:r>
        <w:rPr>
          <w:b/>
        </w:rPr>
        <w:t>profit</w:t>
      </w:r>
      <w:r>
        <w:t>, iar microul e impozit pe</w:t>
      </w:r>
    </w:p>
    <w:p>
      <w:pPr>
        <w:jc w:val="both"/>
      </w:pPr>
      <w:r>
        <w:rPr>
          <w:b/>
        </w:rPr>
        <w:t>venit</w:t>
      </w:r>
      <w:r>
        <w:t xml:space="preserve"> — ar fi o clasificare greșită, nu doar o notație.</w:t>
      </w:r>
    </w:p>
    <w:p>
      <w:pPr>
        <w:pStyle w:val="Heading3"/>
      </w:pPr>
      <w:r>
        <w:t>12.3 Depășirea pragului</w:t>
      </w:r>
    </w:p>
    <w:p>
      <w:pPr>
        <w:jc w:val="both"/>
      </w:pPr>
      <w:r>
        <w:t>Dacă în cursul anului veniturile depășesc pragul, societatea devine plătitoare de impozit</w:t>
      </w:r>
    </w:p>
    <w:p>
      <w:pPr>
        <w:jc w:val="both"/>
      </w:pPr>
      <w:r>
        <w:t xml:space="preserve">pe profit </w:t>
      </w:r>
      <w:r>
        <w:rPr>
          <w:b/>
        </w:rPr>
        <w:t>începând cu trimestrul în care s-a depășit</w:t>
      </w:r>
      <w:r>
        <w:t>, nu cu următorul.</w:t>
      </w:r>
    </w:p>
    <w:p>
      <w:pPr>
        <w:jc w:val="both"/>
      </w:pPr>
      <w:r>
        <w:t>➕ Consecința practică: clientul care se apropie de prag trebuie anunțat înainte, nu</w:t>
      </w:r>
    </w:p>
    <w:p>
      <w:pPr>
        <w:jc w:val="both"/>
      </w:pPr>
      <w:r>
        <w:t xml:space="preserve">după. Declarațiile devin </w:t>
      </w:r>
      <w:r>
        <w:rPr>
          <w:b/>
        </w:rPr>
        <w:t>D100 trimestrial</w:t>
      </w:r>
      <w:r>
        <w:t xml:space="preserve"> și </w:t>
      </w:r>
      <w:r>
        <w:rPr>
          <w:b/>
        </w:rPr>
        <w:t>D101 anual</w:t>
      </w:r>
      <w:r>
        <w:t>.</w:t>
      </w:r>
    </w:p>
    <w:p>
      <w:pPr>
        <w:pStyle w:val="Heading3"/>
      </w:pPr>
      <w:r>
        <w:t>12.4 Ce sold trebuie să aibă</w:t>
      </w:r>
    </w:p>
    <w:p>
      <w:pPr>
        <w:jc w:val="both"/>
      </w:pPr>
      <w:r>
        <w:rPr>
          <w:b/>
        </w:rPr>
        <w:t>441</w:t>
      </w:r>
      <w:r>
        <w:t xml:space="preserve"> (impozit pe profit) și </w:t>
      </w:r>
      <w:r>
        <w:rPr>
          <w:b/>
        </w:rPr>
        <w:t>4418</w:t>
      </w:r>
      <w:r>
        <w:t xml:space="preserve"> (impozit pe venit) sunt conturi de pasiv, deci</w:t>
      </w:r>
    </w:p>
    <w:p>
      <w:pPr>
        <w:jc w:val="both"/>
      </w:pPr>
      <w:r>
        <w:t xml:space="preserve">soldul lor normal este </w:t>
      </w:r>
      <w:r>
        <w:rPr>
          <w:b/>
        </w:rPr>
        <w:t>creditor</w:t>
      </w:r>
      <w:r>
        <w:t>. Un sold debitor înseamnă că s-a plătit mai mult</w:t>
      </w:r>
    </w:p>
    <w:p>
      <w:pPr>
        <w:jc w:val="both"/>
      </w:pPr>
      <w:r>
        <w:t>decât se datorează — de verificat, nu de ignorat.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este actul normativ care a permanentizat termenul de 25 iunie pentru D101?</w:t>
      </w:r>
    </w:p>
    <w:p>
      <w:pPr>
        <w:jc w:val="both"/>
      </w:pPr>
      <w:r>
        <w:t xml:space="preserve">Termenul de 25 iunie </w:t>
      </w:r>
      <w:r>
        <w:rPr>
          <w:b/>
        </w:rPr>
        <w:t>nu a fost de la început permanent</w:t>
      </w:r>
      <w:r>
        <w:t xml:space="preserve">: a venit prin </w:t>
      </w:r>
      <w:r>
        <w:rPr>
          <w:b/>
        </w:rPr>
        <w:t>OUG 153/2020</w:t>
      </w:r>
      <w:r>
        <w:t>, care l-a prelungit pentru perioada 2021–2025, odată cu bonificațiile pentru capital propriu pozitiv și în creștere. 2025 a fost ultimul an de aplicare a acelui mecanism, iar termenul uniform de 25 iunie a anului următor se aplică de la 2026. ❓ Actul care l-a permanentizat nu l-am putut identifica cu certitudine — surse îl descriu ca măsură adoptată în 2026, dar fără să-l numească. De confirmat înainte de a-l cita unui client.</w:t>
      </w:r>
    </w:p>
    <w:p>
      <w:pPr>
        <w:jc w:val="both"/>
      </w:pPr>
      <w:r>
        <w:rPr>
          <w:i/>
        </w:rPr>
        <w:t>Temei:</w:t>
      </w:r>
      <w:r>
        <w:t xml:space="preserve"> OUG 153/2020, art. I — aplicabil 2021–2025. Permanentizarea: act neidentificat.</w:t>
      </w:r>
    </w:p>
    <w:p>
      <w:pPr>
        <w:jc w:val="both"/>
      </w:pPr>
      <w:r>
        <w:rPr>
          <w:i/>
        </w:rPr>
        <w:t>Repartizarea rezultatului și rezultatul reportat · training 07.08.2026, întrebarea 6 · verificat 21.08.2026</w:t>
      </w:r>
    </w:p>
    <w:p>
      <w:pPr>
        <w:jc w:val="both"/>
      </w:pPr>
      <w:r>
        <w:rPr>
          <w:b/>
        </w:rPr>
        <w:t>✅ TVA nedeductibilă de pe rata de capital la leasingul financiar: se capitalizează în valoarea mijlocului fix (2133) sau se trece pe cheltuială (635 / 6588)?</w:t>
      </w:r>
    </w:p>
    <w:p>
      <w:pPr>
        <w:jc w:val="both"/>
      </w:pPr>
      <w:r>
        <w:rPr>
          <w:b/>
        </w:rPr>
        <w:t>Cheltuială, nu capitalizare.</w:t>
      </w:r>
      <w:r>
        <w:t xml:space="preserve"> La leasing, tratamentul diferă de achiziția directă: la cumpărarea internă a unui autoturism, TVA-ul nedeductibil de 50% intră în costul de achiziție, dar la leasing </w:t>
      </w:r>
      <w:r>
        <w:rPr>
          <w:b/>
        </w:rPr>
        <w:t>nu</w:t>
      </w:r>
      <w:r>
        <w:t xml:space="preserve"> intră în valoarea mijlocului fix. Se înregistrează pe cheltuială, defalcat după componenta ratei: </w:t>
      </w:r>
      <w:r>
        <w:rPr>
          <w:rFonts w:ascii="Consolas" w:hAnsi="Consolas"/>
          <w:color w:val="1F4E79"/>
          <w:sz w:val="19"/>
        </w:rPr>
        <w:t>635 = 4426</w:t>
      </w:r>
      <w:r>
        <w:t xml:space="preserve"> pentru 50% din TVA aferent ratei de capital, </w:t>
      </w:r>
      <w:r>
        <w:rPr>
          <w:rFonts w:ascii="Consolas" w:hAnsi="Consolas"/>
          <w:color w:val="1F4E79"/>
          <w:sz w:val="19"/>
        </w:rPr>
        <w:t>666 = 4426</w:t>
      </w:r>
      <w:r>
        <w:t xml:space="preserve"> pentru cel aferent dobânzii, </w:t>
      </w:r>
      <w:r>
        <w:rPr>
          <w:rFonts w:ascii="Consolas" w:hAnsi="Consolas"/>
          <w:color w:val="1F4E79"/>
          <w:sz w:val="19"/>
        </w:rPr>
        <w:t>628 = 4426</w:t>
      </w:r>
      <w:r>
        <w:t xml:space="preserve"> pentru cel aferent comisionului.</w:t>
      </w:r>
    </w:p>
    <w:p>
      <w:pPr>
        <w:jc w:val="both"/>
      </w:pPr>
      <w:r>
        <w:rPr>
          <w:i/>
        </w:rPr>
        <w:t>Temei:</w:t>
      </w:r>
      <w:r>
        <w:t xml:space="preserve"> Cod fiscal art. 298 (limitarea la 50%) coroborat cu OMFP 1802/2014 privind costul de achiziție; tratamentul distinct al leasingului față de achiziția directă.</w:t>
      </w:r>
    </w:p>
    <w:p>
      <w:pPr>
        <w:jc w:val="both"/>
      </w:pPr>
      <w:r>
        <w:rPr>
          <w:i/>
        </w:rPr>
        <w:t>Leasing și vehicule · training 07.08.2026, întrebarea 3 · verificat 21.08.2026</w:t>
      </w:r>
    </w:p>
    <w:p>
      <w:pPr>
        <w:jc w:val="both"/>
      </w:pPr>
      <w:r>
        <w:rPr>
          <w:b/>
        </w:rPr>
        <w:t>✅ Care sunt pragul de venituri și cota de impozit pentru microîntreprinderi, în vigoare la data operațiunii?</w:t>
      </w:r>
    </w:p>
    <w:p>
      <w:pPr>
        <w:jc w:val="both"/>
      </w:pPr>
      <w:r>
        <w:t xml:space="preserve">Prag </w:t>
      </w:r>
      <w:r>
        <w:rPr>
          <w:b/>
        </w:rPr>
        <w:t>100.000 EUR</w:t>
      </w:r>
      <w:r>
        <w:t xml:space="preserve"> venituri totale, din 2026 (era 250.000 în 2025 și 500.000 până în 2024). Cotă unică </w:t>
      </w:r>
      <w:r>
        <w:rPr>
          <w:b/>
        </w:rPr>
        <w:t>1%</w:t>
      </w:r>
      <w:r>
        <w:t xml:space="preserve"> — cota de 3% pentru firmele fără salariat a fost </w:t>
      </w:r>
      <w:r>
        <w:rPr>
          <w:b/>
        </w:rPr>
        <w:t>eliminată</w:t>
      </w:r>
      <w:r>
        <w:t xml:space="preserve"> de la 1 ianuarie 2026. Echivalentul în lei se determină la cursul de la închiderea exercițiului financiar anterior.</w:t>
      </w:r>
    </w:p>
    <w:p>
      <w:pPr>
        <w:jc w:val="both"/>
      </w:pPr>
      <w:r>
        <w:rPr>
          <w:i/>
        </w:rPr>
        <w:t>Temei:</w:t>
      </w:r>
      <w:r>
        <w:t xml:space="preserve"> Cod fiscal, Titlul IV — Impozitul pe veniturile microîntreprinderilor.</w:t>
      </w:r>
    </w:p>
    <w:p>
      <w:pPr>
        <w:jc w:val="both"/>
      </w:pPr>
      <w:r>
        <w:rPr>
          <w:i/>
        </w:rPr>
        <w:t>Microîntreprindere — prag și cotă · training 21.08.2026,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