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Declarații, fișa pe plătitor și bilanțul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Sursă: training 31.08.2026 — lanțul de la balanța lunii până la bilanțul depus, și verificările care îl țin drept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Ce e deja în sistem la 31.08</w:t>
      </w:r>
    </w:p>
    <w:p>
      <w:pPr>
        <w:jc w:val="both"/>
      </w:pPr>
      <w:r>
        <w:t>Primul pas al revizuirii, înaintea oricărei linii de material nou: fiecare temă din</w:t>
      </w:r>
    </w:p>
    <w:p>
      <w:pPr>
        <w:jc w:val="both"/>
      </w:pPr>
      <w:r>
        <w:t>notițe se pune lângă fluxul, modulul sau corelația care o acoperă deja. Ce rămâne e</w:t>
      </w:r>
    </w:p>
    <w:p>
      <w:pPr>
        <w:jc w:val="both"/>
      </w:pPr>
      <w:r>
        <w:t xml:space="preserve">material nou; restul e </w:t>
      </w:r>
      <w:r>
        <w:rPr>
          <w:b/>
        </w:rPr>
        <w:t>adâncire</w:t>
      </w:r>
      <w:r>
        <w:t>, și se scrie ca adâncire — cu trimitere la ce</w:t>
      </w:r>
    </w:p>
    <w:p>
      <w:pPr>
        <w:jc w:val="both"/>
      </w:pPr>
      <w:r>
        <w:t>adâncește.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Tema din notițe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o acoperă deja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Reduceri comerciale </w:t>
            </w:r>
            <w:r>
              <w:rPr>
                <w:rFonts w:ascii="Consolas" w:hAnsi="Consolas"/>
                <w:color w:val="1F4E79"/>
                <w:sz w:val="18"/>
              </w:rPr>
              <w:t>609 / 709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711</w:t>
            </w:r>
            <w:r>
              <w:rPr>
                <w:sz w:val="18"/>
              </w:rPr>
              <w:t xml:space="preserve"> ca venit al producției stocate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F-311, F-314 — și scutirea de cadență din </w:t>
            </w:r>
            <w:r>
              <w:rPr>
                <w:rFonts w:ascii="Consolas" w:hAnsi="Consolas"/>
                <w:color w:val="1F4E79"/>
                <w:sz w:val="18"/>
              </w:rPr>
              <w:t>date/inchideri.py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Închiderea exercițiului </w:t>
            </w:r>
            <w:r>
              <w:rPr>
                <w:rFonts w:ascii="Consolas" w:hAnsi="Consolas"/>
                <w:color w:val="1F4E79"/>
                <w:sz w:val="18"/>
              </w:rPr>
              <w:t>121 / 129 / 117 + 691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F-104, MOD_INCHIDERE_EX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Repartizarea rezultatului → </w:t>
            </w:r>
            <w:r>
              <w:rPr>
                <w:rFonts w:ascii="Consolas" w:hAnsi="Consolas"/>
                <w:color w:val="1F4E79"/>
                <w:sz w:val="18"/>
              </w:rPr>
              <w:t>1171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F-103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Dividende din rezultatul reportat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F-109, F-110, MOD_DIVIDENDE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Închiderea lunară a obligațiilor salariale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F-422, MOD_INCHIDERE_LUNARA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Fișa pe plătitor confruntată cu balanța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MOD_CONTROL_BALANTA, C-29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 liniară; plafonul auto de 50%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F-204, F-108, MOD_IMOBILIZARI, MOD_LEASING_FIN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Amortizarea accelerată vs. profitul reinvestit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întrebarea 12.08 î2 — </w:t>
            </w:r>
            <w:r>
              <w:rPr>
                <w:b/>
                <w:sz w:val="18"/>
              </w:rPr>
              <w:t>deja cu răspuns verificat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Pragul fiscal de 5.000 lei al mijloacelor fixe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întrebarea 12.08 î1 — </w:t>
            </w:r>
            <w:r>
              <w:rPr>
                <w:b/>
                <w:sz w:val="18"/>
              </w:rPr>
              <w:t>deja cu răspuns verificat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SAF-T pe mijloace fixe (D406)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MOD_IMOBILIZARI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Taxare inversă internă / intracomunitară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F-402, F-303, MOD_TAXARE_INVERSA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Codurile din nomenclatorul 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F-203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Piese de schimb </w:t>
            </w:r>
            <w:r>
              <w:rPr>
                <w:rFonts w:ascii="Consolas" w:hAnsi="Consolas"/>
                <w:color w:val="1F4E79"/>
                <w:sz w:val="18"/>
              </w:rPr>
              <w:t>3024</w:t>
            </w:r>
            <w:r>
              <w:rPr>
                <w:sz w:val="18"/>
              </w:rPr>
              <w:t>, valorificate din casare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F-212 (</w:t>
            </w:r>
            <w:r>
              <w:rPr>
                <w:rFonts w:ascii="Consolas" w:hAnsi="Consolas"/>
                <w:color w:val="1F4E79"/>
                <w:sz w:val="18"/>
              </w:rPr>
              <w:t>3024 → 371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Scutirea de impozit pentru handicap accentuat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limitare DECLARATĂ</w:t>
            </w:r>
            <w:r>
              <w:rPr>
                <w:sz w:val="18"/>
              </w:rPr>
              <w:t xml:space="preserve"> în MOD_SALARII, tabelul C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Corecție după D300 depusă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Debitori diverși </w:t>
            </w:r>
            <w:r>
              <w:rPr>
                <w:rFonts w:ascii="Consolas" w:hAnsi="Consolas"/>
                <w:color w:val="1F4E79"/>
                <w:sz w:val="18"/>
              </w:rPr>
              <w:t>461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F-425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contrar naturii contului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C-23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Bon de consum la ieșirea din gestiune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F-321, §9.5 din sursa 28.08</w:t>
            </w:r>
          </w:p>
        </w:tc>
      </w:tr>
    </w:tbl>
    <w:p/>
    <w:p>
      <w:pPr>
        <w:jc w:val="both"/>
      </w:pPr>
      <w:r>
        <w:t xml:space="preserve">⚠️ Rândul cu </w:t>
      </w:r>
      <w:r>
        <w:rPr>
          <w:b/>
        </w:rPr>
        <w:t>scutirea pentru handicap accentuat</w:t>
      </w:r>
      <w:r>
        <w:t xml:space="preserve"> e cel care justifică tabelul. MOD_SALARII</w:t>
      </w:r>
    </w:p>
    <w:p>
      <w:pPr>
        <w:jc w:val="both"/>
      </w:pPr>
      <w:r>
        <w:t>o declară explicit ca limitare — „Scutiri (handicap, studenți): regim special, pe document</w:t>
      </w:r>
    </w:p>
    <w:p>
      <w:pPr>
        <w:jc w:val="both"/>
      </w:pPr>
      <w:r>
        <w:t>justificativ” — deci nu e material nou, e o limitare cunoscută care acum primește conținut.</w:t>
      </w:r>
    </w:p>
    <w:p>
      <w:pPr>
        <w:jc w:val="both"/>
      </w:pPr>
      <w:r>
        <w:t xml:space="preserve">Ce e nou e </w:t>
      </w:r>
      <w:r>
        <w:rPr>
          <w:b/>
        </w:rPr>
        <w:t>cealaltă</w:t>
      </w:r>
      <w:r>
        <w:t xml:space="preserve"> față a subiectului: fondul de handicap datorat de angajator, care</w:t>
      </w:r>
    </w:p>
    <w:p>
      <w:pPr>
        <w:jc w:val="both"/>
      </w:pPr>
      <w:r>
        <w:t>n-are nicio legătură cu scutirea salariatului în afară de cuvânt.</w:t>
      </w:r>
    </w:p>
    <w:p>
      <w:pPr>
        <w:jc w:val="both"/>
      </w:pPr>
      <w:r>
        <w:t xml:space="preserve">➕ Ce rămâne </w:t>
      </w:r>
      <w:r>
        <w:rPr>
          <w:b/>
        </w:rPr>
        <w:t>cu adevărat nou</w:t>
      </w:r>
      <w:r>
        <w:t xml:space="preserve"> după tabel: fondul de handicap (</w:t>
      </w:r>
      <w:r>
        <w:rPr>
          <w:rFonts w:ascii="Consolas" w:hAnsi="Consolas"/>
          <w:color w:val="1F4E79"/>
          <w:sz w:val="19"/>
        </w:rPr>
        <w:t>635 = 447</w:t>
      </w:r>
      <w:r>
        <w:t>), chiriile de la</w:t>
      </w:r>
    </w:p>
    <w:p>
      <w:pPr>
        <w:jc w:val="both"/>
      </w:pPr>
      <w:r>
        <w:t>persoane fizice (</w:t>
      </w:r>
      <w:r>
        <w:rPr>
          <w:rFonts w:ascii="Consolas" w:hAnsi="Consolas"/>
          <w:color w:val="1F4E79"/>
          <w:sz w:val="19"/>
        </w:rPr>
        <w:t>462</w:t>
      </w:r>
      <w:r>
        <w:t>), vocabularul balanței (sold inițial / rulaje / total sume), impozitul</w:t>
      </w:r>
    </w:p>
    <w:p>
      <w:pPr>
        <w:jc w:val="both"/>
      </w:pPr>
      <w:r>
        <w:t xml:space="preserve">pe profit calculat </w:t>
      </w:r>
      <w:r>
        <w:rPr>
          <w:b/>
        </w:rPr>
        <w:t>cumulat</w:t>
      </w:r>
      <w:r>
        <w:t>, plafonul de 1.500 lei la amortizarea autoturismelor, structura</w:t>
      </w:r>
    </w:p>
    <w:p>
      <w:pPr>
        <w:jc w:val="both"/>
      </w:pPr>
      <w:r>
        <w:t>bilanțului (F10/F20/F30/F40), regimul de redepunere pe fiecare declarație, extrasele</w:t>
      </w:r>
    </w:p>
    <w:p>
      <w:pPr>
        <w:jc w:val="both"/>
      </w:pPr>
      <w:r>
        <w:t xml:space="preserve">înregistrate necronologic, </w:t>
      </w:r>
      <w:r>
        <w:rPr>
          <w:rFonts w:ascii="Consolas" w:hAnsi="Consolas"/>
          <w:color w:val="1F4E79"/>
          <w:sz w:val="19"/>
        </w:rPr>
        <w:t>622</w:t>
      </w:r>
      <w:r>
        <w:t xml:space="preserve"> / </w:t>
      </w:r>
      <w:r>
        <w:rPr>
          <w:rFonts w:ascii="Consolas" w:hAnsi="Consolas"/>
          <w:color w:val="1F4E79"/>
          <w:sz w:val="19"/>
        </w:rPr>
        <w:t>628</w:t>
      </w:r>
      <w:r>
        <w:t>, locuința de serviciu și codul fiscal al salariatului</w:t>
      </w:r>
    </w:p>
    <w:p>
      <w:pPr>
        <w:jc w:val="both"/>
      </w:pPr>
      <w:r>
        <w:t>de la punctul de lucru.</w:t>
      </w:r>
    </w:p>
    <w:p>
      <w:pPr>
        <w:pStyle w:val="Heading2"/>
      </w:pPr>
      <w:r>
        <w:t>2. Clasele 6 și 7 se verifică în fiecare lună</w:t>
      </w:r>
    </w:p>
    <w:p>
      <w:pPr>
        <w:pStyle w:val="Heading3"/>
      </w:pPr>
      <w:r>
        <w:t>2.1 De ce tocmai ele</w:t>
      </w:r>
    </w:p>
    <w:p>
      <w:pPr>
        <w:jc w:val="both"/>
      </w:pPr>
      <w:r>
        <w:t xml:space="preserve">Formatorul le pune primele: </w:t>
      </w:r>
      <w:r>
        <w:rPr>
          <w:b/>
        </w:rPr>
        <w:t>ridică cel mai des întrebări</w:t>
      </w:r>
      <w:r>
        <w:t>. Motivul e structural — clasele</w:t>
      </w:r>
    </w:p>
    <w:p>
      <w:pPr>
        <w:jc w:val="both"/>
      </w:pPr>
      <w:r>
        <w:t>6 și 7 nu au sold care să se reporteze, deci o eroare acolo nu se autodenunță luna următoare</w:t>
      </w:r>
    </w:p>
    <w:p>
      <w:pPr>
        <w:jc w:val="both"/>
      </w:pPr>
      <w:r>
        <w:t>printr-un sold ciudat. Se vede doar dacă te uiți la rulaj în luna în care s-a produs.</w:t>
      </w:r>
    </w:p>
    <w:p>
      <w:pPr>
        <w:pStyle w:val="Heading3"/>
      </w:pPr>
      <w:r>
        <w:t>2.2 Reducerile care se citesc invers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Perechea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609</w:t>
            </w:r>
            <w:r>
              <w:rPr>
                <w:sz w:val="18"/>
              </w:rPr>
              <w:t xml:space="preserve"> Reduceri comerciale primite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cu </w:t>
            </w:r>
            <w:r>
              <w:rPr>
                <w:rFonts w:ascii="Consolas" w:hAnsi="Consolas"/>
                <w:color w:val="1F4E79"/>
                <w:sz w:val="18"/>
              </w:rPr>
              <w:t>401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cheltuială cu semn </w:t>
            </w:r>
            <w:r>
              <w:rPr>
                <w:b/>
                <w:sz w:val="18"/>
              </w:rPr>
              <w:t>inversat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709</w:t>
            </w:r>
            <w:r>
              <w:rPr>
                <w:sz w:val="18"/>
              </w:rPr>
              <w:t xml:space="preserve"> Reduceri comerciale acordate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cu </w:t>
            </w:r>
            <w:r>
              <w:rPr>
                <w:rFonts w:ascii="Consolas" w:hAnsi="Consolas"/>
                <w:color w:val="1F4E79"/>
                <w:sz w:val="18"/>
              </w:rPr>
              <w:t>411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venit cu semn </w:t>
            </w:r>
            <w:r>
              <w:rPr>
                <w:b/>
                <w:sz w:val="18"/>
              </w:rPr>
              <w:t>inversat</w:t>
            </w:r>
          </w:p>
        </w:tc>
      </w:tr>
    </w:tbl>
    <w:p/>
    <w:p>
      <w:pPr>
        <w:jc w:val="both"/>
      </w:pPr>
      <w:r>
        <w:rPr>
          <w:rFonts w:ascii="Consolas" w:hAnsi="Consolas"/>
          <w:color w:val="1F4E79"/>
          <w:sz w:val="19"/>
        </w:rPr>
        <w:t>609</w:t>
      </w:r>
      <w:r>
        <w:t xml:space="preserve"> stă în clasa 6, dar economic e un </w:t>
      </w:r>
      <w:r>
        <w:rPr>
          <w:b/>
        </w:rPr>
        <w:t>venit</w:t>
      </w:r>
      <w:r>
        <w:t>: reduce cheltuiala. De aceea rulajul lui</w:t>
      </w:r>
    </w:p>
    <w:p>
      <w:pPr>
        <w:jc w:val="both"/>
      </w:pPr>
      <w:r>
        <w:t xml:space="preserve">normal e </w:t>
      </w:r>
      <w:r>
        <w:rPr>
          <w:b/>
        </w:rPr>
        <w:t>creditor</w:t>
      </w:r>
      <w:r>
        <w:t>, iar dacă apare „cu +” — adică debitor, ca o cheltuială obișnuită — e</w:t>
      </w:r>
    </w:p>
    <w:p>
      <w:pPr>
        <w:jc w:val="both"/>
      </w:pPr>
      <w:r>
        <w:t>semn de operare greșită.</w:t>
      </w:r>
    </w:p>
    <w:p>
      <w:pPr>
        <w:jc w:val="both"/>
      </w:pPr>
      <w:r>
        <w:t xml:space="preserve">➕ Instrumentul de verificat, numit în notiță: </w:t>
      </w:r>
      <w:r>
        <w:rPr>
          <w:b/>
        </w:rPr>
        <w:t>fișa de cont / cartea mare</w:t>
      </w:r>
      <w:r>
        <w:t>. Nu balanța:</w:t>
      </w:r>
    </w:p>
    <w:p>
      <w:pPr>
        <w:jc w:val="both"/>
      </w:pPr>
      <w:r>
        <w:t>balanța dă soldul net, care poate ascunde un rulaj pe sensul greșit compensat de altul pe</w:t>
      </w:r>
    </w:p>
    <w:p>
      <w:pPr>
        <w:jc w:val="both"/>
      </w:pPr>
      <w:r>
        <w:t>sensul bun. Fișa arată fiecare mișcare cu sensul ei.</w:t>
      </w:r>
    </w:p>
    <w:p>
      <w:pPr>
        <w:jc w:val="both"/>
      </w:pPr>
      <w:r>
        <w:t>↳ adâncește F-409, care are deja monografia celor două conturi.</w:t>
      </w:r>
    </w:p>
    <w:p>
      <w:pPr>
        <w:pStyle w:val="Heading3"/>
      </w:pPr>
      <w:r>
        <w:t>2.3 `711` — singurul venit care se închide prin sold</w:t>
      </w:r>
    </w:p>
    <w:p>
      <w:pPr>
        <w:jc w:val="both"/>
      </w:pPr>
      <w:r>
        <w:t>Regula, cuvânt cu cuvânt din notiță: **</w:t>
      </w:r>
      <w:r>
        <w:rPr>
          <w:rFonts w:ascii="Consolas" w:hAnsi="Consolas"/>
          <w:color w:val="1F4E79"/>
          <w:sz w:val="19"/>
        </w:rPr>
        <w:t>711</w:t>
      </w:r>
      <w:r>
        <w:t xml:space="preserve"> e singurul venit care se închide prin sold, nu</w:t>
      </w:r>
    </w:p>
    <w:p>
      <w:pPr>
        <w:jc w:val="both"/>
      </w:pPr>
      <w:r>
        <w:t>prin rulaje; restul se închid prin rulaje.**</w:t>
      </w:r>
    </w:p>
    <w:p>
      <w:pPr>
        <w:jc w:val="both"/>
      </w:pPr>
      <w:r>
        <w:t xml:space="preserve">Motivul: </w:t>
      </w:r>
      <w:r>
        <w:rPr>
          <w:rFonts w:ascii="Consolas" w:hAnsi="Consolas"/>
          <w:color w:val="1F4E79"/>
          <w:sz w:val="19"/>
        </w:rPr>
        <w:t>711</w:t>
      </w:r>
      <w:r>
        <w:t xml:space="preserve"> „Venituri aferente costurilor stocurilor de produse” e un **cont intermediar</w:t>
      </w:r>
    </w:p>
    <w:p>
      <w:pPr>
        <w:jc w:val="both"/>
      </w:pPr>
      <w:r>
        <w:t>de venituri**, care oglindește variația stocului de produse. În cursul anului se mișcă în</w:t>
      </w:r>
    </w:p>
    <w:p>
      <w:pPr>
        <w:jc w:val="both"/>
      </w:pPr>
      <w:r>
        <w:t>ambele sensuri — crește când producția intră în stoc, scade când iese — iar ce contează la</w:t>
      </w:r>
    </w:p>
    <w:p>
      <w:pPr>
        <w:jc w:val="both"/>
      </w:pPr>
      <w:r>
        <w:t xml:space="preserve">închidere e </w:t>
      </w:r>
      <w:r>
        <w:rPr>
          <w:b/>
        </w:rPr>
        <w:t>variația netă</w:t>
      </w:r>
      <w:r>
        <w:t>, adică soldul. Închiderea pe rulaje ar dubla mișcarea.</w:t>
      </w:r>
    </w:p>
    <w:p>
      <w:pPr>
        <w:jc w:val="both"/>
      </w:pPr>
      <w:r>
        <w:t xml:space="preserve">↳ e chiar motivul pentru care </w:t>
      </w:r>
      <w:r>
        <w:rPr>
          <w:rFonts w:ascii="Consolas" w:hAnsi="Consolas"/>
          <w:color w:val="1F4E79"/>
          <w:sz w:val="19"/>
        </w:rPr>
        <w:t>711</w:t>
      </w:r>
      <w:r>
        <w:t xml:space="preserve"> figurează în </w:t>
      </w:r>
      <w:r>
        <w:rPr>
          <w:rFonts w:ascii="Consolas" w:hAnsi="Consolas"/>
          <w:color w:val="1F4E79"/>
          <w:sz w:val="19"/>
        </w:rPr>
        <w:t>FARA_CADENTA</w:t>
      </w:r>
      <w:r>
        <w:t>: „Se închide la 31.12</w:t>
      </w:r>
    </w:p>
    <w:p>
      <w:pPr>
        <w:jc w:val="both"/>
      </w:pPr>
      <w:r>
        <w:t>împreună cu variația stocurilor (F-314). Sold în cursul anului e starea normală, nu o eroare.”</w:t>
      </w:r>
    </w:p>
    <w:p>
      <w:pPr>
        <w:jc w:val="both"/>
      </w:pPr>
      <w:r>
        <w:t>Notița de acum confirmă regula scrisă acolo cu un training în urmă.</w:t>
      </w:r>
    </w:p>
    <w:p>
      <w:pPr>
        <w:pStyle w:val="Heading2"/>
      </w:pPr>
      <w:r>
        <w:t>3. Vocabularul balanței</w:t>
      </w:r>
    </w:p>
    <w:p>
      <w:pPr>
        <w:pStyle w:val="Heading3"/>
      </w:pPr>
      <w:r>
        <w:t>3.1 Cele cinci mărimi</w:t>
      </w:r>
    </w:p>
    <w:p>
      <w:pPr>
        <w:jc w:val="both"/>
      </w:pPr>
      <w:r>
        <w:t>Material nou, și e fundația pe care stă orice verificare de balanță: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Mărimea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Definiția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Sold inițial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tot timpul la </w:t>
            </w:r>
            <w:r>
              <w:rPr>
                <w:b/>
                <w:sz w:val="18"/>
              </w:rPr>
              <w:t>începutul anului</w:t>
            </w:r>
            <w:r>
              <w:rPr>
                <w:sz w:val="18"/>
              </w:rPr>
              <w:t xml:space="preserve"> — nu al lunii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Rulaje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mișcările </w:t>
            </w:r>
            <w:r>
              <w:rPr>
                <w:b/>
                <w:sz w:val="18"/>
              </w:rPr>
              <w:t>din luna</w:t>
            </w:r>
            <w:r>
              <w:rPr>
                <w:sz w:val="18"/>
              </w:rPr>
              <w:t xml:space="preserve"> curentă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 sume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inițial + rulaje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 sume precedente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inițial + rulajele până la începutul lunii curente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diferența dintre totalurile de sume — </w:t>
            </w:r>
            <w:r>
              <w:rPr>
                <w:b/>
                <w:sz w:val="18"/>
              </w:rPr>
              <w:t>întotdeauna</w:t>
            </w:r>
          </w:p>
        </w:tc>
      </w:tr>
    </w:tbl>
    <w:p/>
    <w:p>
      <w:pPr>
        <w:jc w:val="both"/>
      </w:pPr>
      <w:r>
        <w:t xml:space="preserve">➕ Precizarea care lipsea și care e sursa celor mai multe confuzii: soldul </w:t>
      </w:r>
      <w:r>
        <w:rPr>
          <w:b/>
        </w:rPr>
        <w:t>nu</w:t>
      </w:r>
      <w:r>
        <w:t xml:space="preserve"> se citește</w:t>
      </w:r>
    </w:p>
    <w:p>
      <w:pPr>
        <w:jc w:val="both"/>
      </w:pPr>
      <w:r>
        <w:t>din rulaje, ci din totalurile de sume. Un cont poate avea rulaj pe ambele sensuri într-o lună</w:t>
      </w:r>
    </w:p>
    <w:p>
      <w:pPr>
        <w:jc w:val="both"/>
      </w:pPr>
      <w:r>
        <w:t>și totuși sold neschimbat; și invers, poate avea sold fără niciun rulaj în luna curentă.</w:t>
      </w:r>
    </w:p>
    <w:p>
      <w:pPr>
        <w:pStyle w:val="Heading3"/>
      </w:pPr>
      <w:r>
        <w:t>3.2 Exemplul din notițe, verificat</w:t>
      </w:r>
    </w:p>
    <w:p>
      <w:pPr>
        <w:jc w:val="both"/>
      </w:pPr>
      <w:r>
        <w:t xml:space="preserve">Notița dă un exemplu pe </w:t>
      </w:r>
      <w:r>
        <w:rPr>
          <w:rFonts w:ascii="Consolas" w:hAnsi="Consolas"/>
          <w:color w:val="1F4E79"/>
          <w:sz w:val="19"/>
        </w:rPr>
        <w:t>121</w:t>
      </w:r>
      <w:r>
        <w:t>. Îl reiau cu cifrele ei:</w:t>
      </w:r>
    </w:p>
    <w:p>
      <w:pPr>
        <w:pStyle w:val="ListBullet"/>
      </w:pPr>
      <w:r>
        <w:t xml:space="preserve">sold inițial: </w:t>
      </w:r>
      <w:r>
        <w:rPr>
          <w:rFonts w:ascii="Consolas" w:hAnsi="Consolas"/>
          <w:color w:val="1F4E79"/>
          <w:sz w:val="19"/>
        </w:rPr>
        <w:t>121</w:t>
      </w:r>
      <w:r>
        <w:t xml:space="preserve"> creditor </w:t>
      </w:r>
      <w:r>
        <w:rPr>
          <w:b/>
        </w:rPr>
        <w:t>10.000</w:t>
      </w:r>
    </w:p>
    <w:p>
      <w:pPr>
        <w:pStyle w:val="ListBullet"/>
      </w:pPr>
      <w:r>
        <w:t xml:space="preserve">rulaj ianuarie: debitor </w:t>
      </w:r>
      <w:r>
        <w:rPr>
          <w:b/>
        </w:rPr>
        <w:t>7.000</w:t>
      </w:r>
      <w:r>
        <w:t xml:space="preserve">, creditor </w:t>
      </w:r>
      <w:r>
        <w:rPr>
          <w:b/>
        </w:rPr>
        <w:t>5.000</w:t>
      </w:r>
    </w:p>
    <w:p>
      <w:pPr>
        <w:pStyle w:val="ListBullet"/>
      </w:pPr>
      <w:r>
        <w:t xml:space="preserve">total sume: debitor </w:t>
      </w:r>
      <w:r>
        <w:rPr>
          <w:b/>
        </w:rPr>
        <w:t>7.000</w:t>
      </w:r>
      <w:r>
        <w:t xml:space="preserve">, creditor </w:t>
      </w:r>
      <w:r>
        <w:rPr>
          <w:b/>
        </w:rPr>
        <w:t>15.000</w:t>
      </w:r>
    </w:p>
    <w:p>
      <w:pPr>
        <w:pStyle w:val="ListBullet"/>
      </w:pPr>
      <w:r>
        <w:t xml:space="preserve">sold: creditor </w:t>
      </w:r>
      <w:r>
        <w:rPr>
          <w:b/>
        </w:rPr>
        <w:t>8.000</w:t>
      </w:r>
    </w:p>
    <w:p>
      <w:pPr>
        <w:jc w:val="both"/>
      </w:pPr>
      <w:r>
        <w:t xml:space="preserve">Verificarea: creditor </w:t>
      </w:r>
      <w:r>
        <w:rPr>
          <w:rFonts w:ascii="Consolas" w:hAnsi="Consolas"/>
          <w:color w:val="1F4E79"/>
          <w:sz w:val="19"/>
        </w:rPr>
        <w:t>10.000 + 5.000 = 15.000</w:t>
      </w:r>
      <w:r>
        <w:t xml:space="preserve">; debitor </w:t>
      </w:r>
      <w:r>
        <w:rPr>
          <w:rFonts w:ascii="Consolas" w:hAnsi="Consolas"/>
          <w:color w:val="1F4E79"/>
          <w:sz w:val="19"/>
        </w:rPr>
        <w:t>0 + 7.000 = 7.000</w:t>
      </w:r>
      <w:r>
        <w:t>; soldul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15.000 − 7.000 = 8.000</w:t>
      </w:r>
      <w:r>
        <w:t xml:space="preserve"> creditor.</w:t>
      </w:r>
    </w:p>
    <w:p>
      <w:pPr>
        <w:jc w:val="both"/>
      </w:pPr>
      <w:r>
        <w:t>⚠️ Notița scrie, pe rândul de mijloc, „pe rulaje la 121 Dr 2k”. Cifra e corectă ca **diferență</w:t>
      </w:r>
    </w:p>
    <w:p>
      <w:pPr>
        <w:jc w:val="both"/>
      </w:pPr>
      <w:r>
        <w:t>de rulaje** (</w:t>
      </w:r>
      <w:r>
        <w:rPr>
          <w:rFonts w:ascii="Consolas" w:hAnsi="Consolas"/>
          <w:color w:val="1F4E79"/>
          <w:sz w:val="19"/>
        </w:rPr>
        <w:t>7.000 − 5.000 = 2.000</w:t>
      </w:r>
      <w:r>
        <w:t xml:space="preserve"> debitor), dar nu e soldul; e mișcarea netă a lunii.</w:t>
      </w:r>
    </w:p>
    <w:p>
      <w:pPr>
        <w:jc w:val="both"/>
      </w:pPr>
      <w:r>
        <w:t>Soldul rămâne 8.000 creditor. Confuzia dintre „diferența rulajelor” și „sold” e exact ce</w:t>
      </w:r>
    </w:p>
    <w:p>
      <w:pPr>
        <w:jc w:val="both"/>
      </w:pPr>
      <w:r>
        <w:t>previne tabelul de la §2.1.</w:t>
      </w:r>
    </w:p>
    <w:p>
      <w:pPr>
        <w:pStyle w:val="Heading2"/>
      </w:pPr>
      <w:r>
        <w:t>4. Impozitul pe profit și D101</w:t>
      </w:r>
    </w:p>
    <w:p>
      <w:pPr>
        <w:pStyle w:val="Heading3"/>
      </w:pPr>
      <w:r>
        <w:t>4.1 Se calculează cumulat, nu pe trimestru</w:t>
      </w:r>
    </w:p>
    <w:p>
      <w:pPr>
        <w:jc w:val="both"/>
      </w:pPr>
      <w:r>
        <w:t>Capcana, descrisă în notiță: profit în trimestrul 1, pierdere în trimestrul 2 — declari 0 —</w:t>
      </w:r>
    </w:p>
    <w:p>
      <w:pPr>
        <w:jc w:val="both"/>
      </w:pPr>
      <w:r>
        <w:t xml:space="preserve">iar în trimestrul 3 </w:t>
      </w:r>
      <w:r>
        <w:rPr>
          <w:b/>
        </w:rPr>
        <w:t>impozitul se calculează cumulat de la începutul anului</w:t>
      </w:r>
      <w:r>
        <w:t>, nu pe</w:t>
      </w:r>
    </w:p>
    <w:p>
      <w:pPr>
        <w:jc w:val="both"/>
      </w:pPr>
      <w:r>
        <w:t>trimestrul izolat. Cine declară trimestru cu trimestru, ca și cum ar fi exerciții separate,</w:t>
      </w:r>
    </w:p>
    <w:p>
      <w:pPr>
        <w:jc w:val="both"/>
      </w:pPr>
      <w:r>
        <w:t>ajunge la altă sumă.</w:t>
      </w:r>
    </w:p>
    <w:p>
      <w:pPr>
        <w:jc w:val="both"/>
      </w:pPr>
      <w:r>
        <w:t xml:space="preserve">➕ De aceea </w:t>
      </w:r>
      <w:r>
        <w:rPr>
          <w:rFonts w:ascii="Consolas" w:hAnsi="Consolas"/>
          <w:color w:val="1F4E79"/>
          <w:sz w:val="19"/>
        </w:rPr>
        <w:t>691</w:t>
      </w:r>
      <w:r>
        <w:t xml:space="preserve"> poate avea rulaj în </w:t>
      </w:r>
      <w:r>
        <w:rPr>
          <w:b/>
        </w:rPr>
        <w:t>ambele sensuri</w:t>
      </w:r>
      <w:r>
        <w:t>: regularizarea cumulată poate cere o</w:t>
      </w:r>
    </w:p>
    <w:p>
      <w:pPr>
        <w:jc w:val="both"/>
      </w:pPr>
      <w:r>
        <w:t>diminuare a cheltuielii cu impozitul înregistrate anterior.</w:t>
      </w:r>
    </w:p>
    <w:p>
      <w:pPr>
        <w:pStyle w:val="Heading3"/>
      </w:pPr>
      <w:r>
        <w:t>4.2 Soldul din D101 trebuie să iasă cu `441`</w:t>
      </w:r>
    </w:p>
    <w:p>
      <w:pPr>
        <w:jc w:val="both"/>
      </w:pPr>
      <w:r>
        <w:t>Regula de contraverificare, luată ca atare: **tot timpul soldul din D101 trebuie să iasă cu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441</w:t>
      </w:r>
      <w:r>
        <w:t>.** Dacă nu iese, declarația e greșită, nu balanța.</w:t>
      </w:r>
    </w:p>
    <w:p>
      <w:pPr>
        <w:jc w:val="both"/>
      </w:pPr>
      <w:r>
        <w:t xml:space="preserve">➕ Practica numită de formator: </w:t>
      </w:r>
      <w:r>
        <w:rPr>
          <w:b/>
        </w:rPr>
        <w:t>listat din fișa pe plătitor, caseta de impozit pe profit</w:t>
      </w:r>
      <w:r>
        <w:t xml:space="preserve"> —</w:t>
      </w:r>
    </w:p>
    <w:p>
      <w:pPr>
        <w:jc w:val="both"/>
      </w:pPr>
      <w:r>
        <w:t>ca să nu te încurci în ce ai declarat. Fișa pe plătitor e adevărul ANAF; balanța e adevărul</w:t>
      </w:r>
    </w:p>
    <w:p>
      <w:pPr>
        <w:jc w:val="both"/>
      </w:pPr>
      <w:r>
        <w:t>tău; corelația dintre ele e singura care prinde divergența.</w:t>
      </w:r>
    </w:p>
    <w:p>
      <w:pPr>
        <w:jc w:val="both"/>
      </w:pPr>
      <w:r>
        <w:t>↳ e aceeași mecanică pe care MOD_CONTROL_BALANTA o aplică la TVA și la salarii. Impozitul pe</w:t>
      </w:r>
    </w:p>
    <w:p>
      <w:pPr>
        <w:jc w:val="both"/>
      </w:pPr>
      <w:r>
        <w:t>profit e a treia instanță a aceleiași reguli.</w:t>
      </w:r>
    </w:p>
    <w:p>
      <w:pPr>
        <w:pStyle w:val="Heading3"/>
      </w:pPr>
      <w:r>
        <w:t>4.3 `1171` are nevoie de analitic</w:t>
      </w:r>
    </w:p>
    <w:p>
      <w:pPr>
        <w:jc w:val="both"/>
      </w:pPr>
      <w:r>
        <w:rPr>
          <w:b/>
        </w:rPr>
        <w:t>Material nou, cu motiv fiscal:</w:t>
      </w:r>
      <w:r>
        <w:t xml:space="preserve"> </w:t>
      </w:r>
      <w:r>
        <w:rPr>
          <w:rFonts w:ascii="Consolas" w:hAnsi="Consolas"/>
          <w:color w:val="1F4E79"/>
          <w:sz w:val="19"/>
        </w:rPr>
        <w:t>1171</w:t>
      </w:r>
      <w:r>
        <w:t xml:space="preserve"> trebuie ținut pe analitic ca să știi **cât poți să</w:t>
      </w:r>
    </w:p>
    <w:p>
      <w:pPr>
        <w:jc w:val="both"/>
      </w:pPr>
      <w:r>
        <w:t>compensezi**. Pierderea fiscală se recuperează pe ani, în ordine, cu termen limită — iar dacă</w:t>
      </w:r>
    </w:p>
    <w:p>
      <w:pPr>
        <w:jc w:val="both"/>
      </w:pPr>
      <w:r>
        <w:t>toate exercițiile stau grămadă într-un singur sold, nu mai poți spune ce parte din el mai e</w:t>
      </w:r>
    </w:p>
    <w:p>
      <w:pPr>
        <w:jc w:val="both"/>
      </w:pPr>
      <w:r>
        <w:t>recuperabilă și ce parte s-a prescris.</w:t>
      </w:r>
    </w:p>
    <w:p>
      <w:pPr>
        <w:pStyle w:val="Heading3"/>
      </w:pPr>
      <w:r>
        <w:t>4.4 Pierderea nedeductibilă</w:t>
      </w:r>
    </w:p>
    <w:p>
      <w:pPr>
        <w:jc w:val="both"/>
      </w:pPr>
      <w:r>
        <w:t xml:space="preserve">La D101, dacă rezultatul e pierdere, </w:t>
      </w:r>
      <w:r>
        <w:rPr>
          <w:b/>
        </w:rPr>
        <w:t>trebuie calculată partea nedeductibilă fiscal</w:t>
      </w:r>
      <w:r>
        <w:t>.</w:t>
      </w:r>
    </w:p>
    <w:p>
      <w:pPr>
        <w:jc w:val="both"/>
      </w:pPr>
      <w:r>
        <w:t>Pierderea contabilă și cea fiscală nu sunt același lucru: cheltuielile nedeductibile se adaugă</w:t>
      </w:r>
    </w:p>
    <w:p>
      <w:pPr>
        <w:jc w:val="both"/>
      </w:pPr>
      <w:r>
        <w:t xml:space="preserve">înapoi, iar ce rămâne recuperabil e pierderea </w:t>
      </w:r>
      <w:r>
        <w:rPr>
          <w:b/>
        </w:rPr>
        <w:t>fiscală</w:t>
      </w:r>
      <w:r>
        <w:t>.</w:t>
      </w:r>
    </w:p>
    <w:p>
      <w:pPr>
        <w:pStyle w:val="Heading2"/>
      </w:pPr>
      <w:r>
        <w:t>5. SAF-T</w:t>
      </w:r>
    </w:p>
    <w:p>
      <w:pPr>
        <w:pStyle w:val="Heading3"/>
      </w:pPr>
      <w:r>
        <w:t>5.1 Ce se depune și când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SAF-T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Când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Balanță, furnizori, clienți, plăți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lunar / trimestrial</w:t>
            </w:r>
            <w:r>
              <w:rPr>
                <w:sz w:val="18"/>
              </w:rPr>
              <w:t>, după vector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Mijloace fixe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 dată pe an, cu depunerea bilanțului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Stocuri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doar la cererea organelor de control</w:t>
            </w:r>
          </w:p>
        </w:tc>
      </w:tr>
    </w:tbl>
    <w:p/>
    <w:p>
      <w:pPr>
        <w:jc w:val="both"/>
      </w:pPr>
      <w:r>
        <w:t xml:space="preserve">➕ Situația mijloacelor fixe se depune ca </w:t>
      </w:r>
      <w:r>
        <w:rPr>
          <w:b/>
        </w:rPr>
        <w:t>SAF-T separat</w:t>
      </w:r>
      <w:r>
        <w:t>, la sfârșit de an, odată cu bilanțul —</w:t>
      </w:r>
    </w:p>
    <w:p>
      <w:pPr>
        <w:jc w:val="both"/>
      </w:pPr>
      <w:r>
        <w:t>nu în declarația lunară.</w:t>
      </w:r>
    </w:p>
    <w:p>
      <w:pPr>
        <w:pStyle w:val="Heading3"/>
      </w:pPr>
      <w:r>
        <w:t>5.2 Stocurile și evidența primară</w:t>
      </w:r>
    </w:p>
    <w:p>
      <w:pPr>
        <w:jc w:val="both"/>
      </w:pPr>
      <w:r>
        <w:t xml:space="preserve">SAF-T pentru stocuri include </w:t>
      </w:r>
      <w:r>
        <w:rPr>
          <w:b/>
        </w:rPr>
        <w:t>materiile prime</w:t>
      </w:r>
      <w:r>
        <w:t>, iar întrebarea practică e la ce preț se ține</w:t>
      </w:r>
    </w:p>
    <w:p>
      <w:pPr>
        <w:jc w:val="both"/>
      </w:pPr>
      <w:r>
        <w:t xml:space="preserve">gestiunea: </w:t>
      </w:r>
      <w:r>
        <w:rPr>
          <w:b/>
        </w:rPr>
        <w:t>cu ridicata sau cu amănuntul</w:t>
      </w:r>
      <w:r>
        <w:t>.</w:t>
      </w:r>
    </w:p>
    <w:p>
      <w:pPr>
        <w:jc w:val="both"/>
      </w:pPr>
      <w:r>
        <w:t xml:space="preserve">Dacă </w:t>
      </w:r>
      <w:r>
        <w:rPr>
          <w:rFonts w:ascii="Consolas" w:hAnsi="Consolas"/>
          <w:color w:val="1F4E79"/>
          <w:sz w:val="19"/>
        </w:rPr>
        <w:t>301</w:t>
      </w:r>
      <w:r>
        <w:t xml:space="preserve"> se operează „la grămadă” în loc de bucată cu bucată, evidența primară trebuie cerută</w:t>
      </w:r>
    </w:p>
    <w:p>
      <w:pPr>
        <w:jc w:val="both"/>
      </w:pPr>
      <w:r>
        <w:t>de la cine o ține, iar la stocuri trebuie atașat SAF-T-ul de stocuri. Notița semnalează că</w:t>
      </w:r>
    </w:p>
    <w:p>
      <w:pPr>
        <w:jc w:val="both"/>
      </w:pPr>
      <w:r>
        <w:t>SmartBill și SAGA au dezvoltat partea de gestiune tocmai pentru asta.</w:t>
      </w:r>
    </w:p>
    <w:p>
      <w:pPr>
        <w:pStyle w:val="Heading3"/>
      </w:pPr>
      <w:r>
        <w:t>5.3 Consumabilele nu ocolesc gestiunea</w:t>
      </w:r>
    </w:p>
    <w:p>
      <w:pPr>
        <w:jc w:val="both"/>
      </w:pPr>
      <w:r>
        <w:t>⚠️ Eroarea numită explicit de formator, cu trei motive: **</w:t>
      </w:r>
      <w:r>
        <w:rPr>
          <w:rFonts w:ascii="Consolas" w:hAnsi="Consolas"/>
          <w:color w:val="1F4E79"/>
          <w:sz w:val="19"/>
        </w:rPr>
        <w:t>6024 = 401</w:t>
      </w:r>
      <w:r>
        <w:t xml:space="preserve"> și </w:t>
      </w:r>
      <w:r>
        <w:rPr>
          <w:rFonts w:ascii="Consolas" w:hAnsi="Consolas"/>
          <w:color w:val="1F4E79"/>
          <w:sz w:val="19"/>
        </w:rPr>
        <w:t>6028 = 401</w:t>
      </w:r>
      <w:r>
        <w:t xml:space="preserve"> nu sunt</w:t>
      </w:r>
    </w:p>
    <w:p>
      <w:pPr>
        <w:jc w:val="both"/>
      </w:pPr>
      <w:r>
        <w:t>corecte** — nici din punctul de vedere al corelațiilor, nici al auditului, nici al</w:t>
      </w:r>
    </w:p>
    <w:p>
      <w:pPr>
        <w:jc w:val="both"/>
      </w:pPr>
      <w:r>
        <w:t>contabilității.</w:t>
      </w:r>
    </w:p>
    <w:p>
      <w:pPr>
        <w:jc w:val="both"/>
      </w:pPr>
      <w:r>
        <w:t>Traseul corect trece prin gestiune, chiar când consumul e imediat:</w:t>
      </w:r>
    </w:p>
    <w:p>
      <w:pPr>
        <w:ind w:left="280"/>
      </w:pPr>
      <w:r>
        <w:rPr>
          <w:rFonts w:ascii="Consolas" w:hAnsi="Consolas"/>
          <w:sz w:val="18"/>
        </w:rPr>
        <w:t>3024 = 401     piese de schimb intrate în gestiune</w:t>
        <w:br/>
        <w:t>6024 = 3024    consumul, pe bon de consum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3024</w:t>
      </w:r>
      <w:r>
        <w:t xml:space="preserve"> și </w:t>
      </w:r>
      <w:r>
        <w:rPr>
          <w:rFonts w:ascii="Consolas" w:hAnsi="Consolas"/>
          <w:color w:val="1F4E79"/>
          <w:sz w:val="19"/>
        </w:rPr>
        <w:t>3028</w:t>
      </w:r>
      <w:r>
        <w:t xml:space="preserve"> sunt conturi de stoc „cu posibilitate de consum imediat” — dar </w:t>
      </w:r>
      <w:r>
        <w:rPr>
          <w:i/>
        </w:rPr>
        <w:t>posibilitatea</w:t>
      </w:r>
    </w:p>
    <w:p>
      <w:pPr>
        <w:jc w:val="both"/>
      </w:pPr>
      <w:r>
        <w:t>consumului imediat nu desființează intrarea în gestiune. Fără ea nu există bon de consum, deci</w:t>
      </w:r>
    </w:p>
    <w:p>
      <w:pPr>
        <w:jc w:val="both"/>
      </w:pPr>
      <w:r>
        <w:t>nu există document justificativ pentru cheltuială.</w:t>
      </w:r>
    </w:p>
    <w:p>
      <w:pPr>
        <w:jc w:val="both"/>
      </w:pPr>
      <w:r>
        <w:t>↳ e aceeași regulă ca la §9.5 din sursa 28.08 („orice ieșire din gestiune se face pe bon de</w:t>
      </w:r>
    </w:p>
    <w:p>
      <w:pPr>
        <w:jc w:val="both"/>
      </w:pPr>
      <w:r>
        <w:t>consum”) și ca la F-321, unde marfa devenită materie primă trece tot prin gestiune.</w:t>
      </w:r>
    </w:p>
    <w:p>
      <w:pPr>
        <w:pStyle w:val="Heading2"/>
      </w:pPr>
      <w:r>
        <w:t>6. Chiriile de la persoane fizice</w:t>
      </w:r>
    </w:p>
    <w:p>
      <w:pPr>
        <w:jc w:val="both"/>
      </w:pPr>
      <w:r>
        <w:rPr>
          <w:b/>
        </w:rPr>
        <w:t>Material nou.</w:t>
      </w:r>
      <w:r>
        <w:t xml:space="preserve"> Societatea plătește chirie către o persoană fizică, iar cheltuiala e a ei.</w:t>
      </w:r>
    </w:p>
    <w:p>
      <w:pPr>
        <w:pStyle w:val="Heading3"/>
      </w:pPr>
      <w:r>
        <w:t>6.1 Câți proprietari are contractul</w:t>
      </w:r>
    </w:p>
    <w:p>
      <w:pPr>
        <w:jc w:val="both"/>
      </w:pPr>
      <w:r>
        <w:t xml:space="preserve">De sesizat </w:t>
      </w:r>
      <w:r>
        <w:rPr>
          <w:b/>
        </w:rPr>
        <w:t>pe contract</w:t>
      </w:r>
      <w:r>
        <w:t xml:space="preserve">: câți proprietari sunt. Soț și soție înseamnă </w:t>
      </w:r>
      <w:r>
        <w:rPr>
          <w:b/>
        </w:rPr>
        <w:t>două</w:t>
      </w:r>
      <w:r>
        <w:t xml:space="preserve"> persoane, iar</w:t>
      </w:r>
    </w:p>
    <w:p>
      <w:pPr>
        <w:jc w:val="both"/>
      </w:pPr>
      <w:r>
        <w:t xml:space="preserve">în contabilitate trebuie înregistrat </w:t>
      </w:r>
      <w:r>
        <w:rPr>
          <w:b/>
        </w:rPr>
        <w:t>CNP-ul fiecăruia</w:t>
      </w:r>
      <w:r>
        <w:t xml:space="preserve"> — pentru că D205 se depune anul viitor</w:t>
      </w:r>
    </w:p>
    <w:p>
      <w:pPr>
        <w:jc w:val="both"/>
      </w:pPr>
      <w:r>
        <w:t>pe CNP, iar informația nu se mai poate reconstitui atunci.</w:t>
      </w:r>
    </w:p>
    <w:p>
      <w:pPr>
        <w:pStyle w:val="Heading3"/>
      </w:pPr>
      <w:r>
        <w:t>6.2 Impozitul</w:t>
      </w:r>
    </w:p>
    <w:p>
      <w:pPr>
        <w:jc w:val="both"/>
      </w:pPr>
      <w:r>
        <w:t>⚠️ Notița dă două variante de calcul, ca și cum ar fi echivalente:</w:t>
      </w:r>
    </w:p>
    <w:p>
      <w:pPr>
        <w:ind w:left="360"/>
      </w:pPr>
      <w:r>
        <w:rPr>
          <w:i/>
          <w:color w:val="5D6E7E"/>
        </w:rPr>
        <w:t xml:space="preserve">valoarea din brut (10.000) − 40%, × 10% — </w:t>
      </w:r>
      <w:r>
        <w:rPr>
          <w:b/>
          <w:i/>
          <w:color w:val="5D6E7E"/>
        </w:rPr>
        <w:t>sau</w:t>
      </w:r>
      <w:r>
        <w:rPr>
          <w:i/>
          <w:color w:val="5D6E7E"/>
        </w:rPr>
        <w:t xml:space="preserve"> — valoarea din brut (10.000) × 8%</w:t>
      </w:r>
    </w:p>
    <w:p>
      <w:pPr>
        <w:jc w:val="both"/>
      </w:pPr>
      <w:r>
        <w:t xml:space="preserve">Cele două </w:t>
      </w:r>
      <w:r>
        <w:rPr>
          <w:b/>
        </w:rPr>
        <w:t>nu</w:t>
      </w:r>
      <w:r>
        <w:t xml:space="preserve"> dau același rezultat: prima dă 600, a doua dă 800. Cota forfetară de cheltuieli</w:t>
      </w:r>
    </w:p>
    <w:p>
      <w:pPr>
        <w:jc w:val="both"/>
      </w:pPr>
      <w:r>
        <w:t xml:space="preserve">la cedarea folosinței bunurilor este </w:t>
      </w:r>
      <w:r>
        <w:rPr>
          <w:b/>
        </w:rPr>
        <w:t>20%</w:t>
      </w:r>
      <w:r>
        <w:t>, nu 40%, iar cu ea cele două variante coincid: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10.000 − 20%</w:t>
      </w:r>
      <w:r>
        <w:t xml:space="preserve"> = 8.000 venit net; </w:t>
      </w:r>
      <w:r>
        <w:rPr>
          <w:rFonts w:ascii="Consolas" w:hAnsi="Consolas"/>
          <w:color w:val="1F4E79"/>
          <w:sz w:val="19"/>
        </w:rPr>
        <w:t>8.000 × 10%</w:t>
      </w:r>
      <w:r>
        <w:t xml:space="preserve"> = </w:t>
      </w:r>
      <w:r>
        <w:rPr>
          <w:b/>
        </w:rPr>
        <w:t>800</w:t>
      </w:r>
    </w:p>
    <w:p>
      <w:pPr>
        <w:pStyle w:val="ListBullet"/>
      </w:pPr>
      <w:r>
        <w:t xml:space="preserve">scurtătura: </w:t>
      </w:r>
      <w:r>
        <w:rPr>
          <w:rFonts w:ascii="Consolas" w:hAnsi="Consolas"/>
          <w:color w:val="1F4E79"/>
          <w:sz w:val="19"/>
        </w:rPr>
        <w:t>10.000 × 8%</w:t>
      </w:r>
      <w:r>
        <w:t xml:space="preserve"> = </w:t>
      </w:r>
      <w:r>
        <w:rPr>
          <w:b/>
        </w:rPr>
        <w:t>800</w:t>
      </w:r>
    </w:p>
    <w:p>
      <w:pPr>
        <w:jc w:val="both"/>
      </w:pPr>
      <w:r>
        <w:t xml:space="preserve">Tocmai de aceea circulă „8%”: e produsul </w:t>
      </w:r>
      <w:r>
        <w:rPr>
          <w:rFonts w:ascii="Consolas" w:hAnsi="Consolas"/>
          <w:color w:val="1F4E79"/>
          <w:sz w:val="19"/>
        </w:rPr>
        <w:t>80% × 10%</w:t>
      </w:r>
      <w:r>
        <w:t xml:space="preserve">. Cota de 40% e cea </w:t>
      </w:r>
      <w:r>
        <w:rPr>
          <w:b/>
        </w:rPr>
        <w:t>veche</w:t>
      </w:r>
      <w:r>
        <w:t>, dinaintea</w:t>
      </w:r>
    </w:p>
    <w:p>
      <w:pPr>
        <w:jc w:val="both"/>
      </w:pPr>
      <w:r>
        <w:t>reducerii la 20%; cu ea, scurtătura de 8% n-ar mai fi validă.</w:t>
      </w:r>
    </w:p>
    <w:p>
      <w:pPr>
        <w:jc w:val="both"/>
      </w:pPr>
      <w:r>
        <w:t xml:space="preserve">✅ Temeiul: </w:t>
      </w:r>
      <w:r>
        <w:rPr>
          <w:b/>
        </w:rPr>
        <w:t>Codul fiscal, art. 84</w:t>
      </w:r>
      <w:r>
        <w:t xml:space="preserve"> — venitul net din cedarea folosinței bunurilor se stabilește</w:t>
      </w:r>
    </w:p>
    <w:p>
      <w:pPr>
        <w:jc w:val="both"/>
      </w:pPr>
      <w:r>
        <w:t xml:space="preserve">scăzând din venitul brut o cotă forfetară de cheltuieli de </w:t>
      </w:r>
      <w:r>
        <w:rPr>
          <w:b/>
        </w:rPr>
        <w:t>20%</w:t>
      </w:r>
      <w:r>
        <w:t xml:space="preserve">, iar impozitul de </w:t>
      </w:r>
      <w:r>
        <w:rPr>
          <w:b/>
        </w:rPr>
        <w:t>10%</w:t>
      </w:r>
      <w:r>
        <w:t xml:space="preserve"> se</w:t>
      </w:r>
    </w:p>
    <w:p>
      <w:pPr>
        <w:jc w:val="both"/>
      </w:pPr>
      <w:r>
        <w:t xml:space="preserve">reține </w:t>
      </w:r>
      <w:r>
        <w:rPr>
          <w:b/>
        </w:rPr>
        <w:t>la sursă</w:t>
      </w:r>
      <w:r>
        <w:t xml:space="preserve"> de plătitorul de venit, la momentul plății, și este </w:t>
      </w:r>
      <w:r>
        <w:rPr>
          <w:b/>
        </w:rPr>
        <w:t>final</w:t>
      </w:r>
      <w:r>
        <w:t>. Coerența internă</w:t>
      </w:r>
    </w:p>
    <w:p>
      <w:pPr>
        <w:jc w:val="both"/>
      </w:pPr>
      <w:r>
        <w:t>a notiței a fost cea care a dat semnalul: două variante prezentate ca echivalente care nu dădeau</w:t>
      </w:r>
    </w:p>
    <w:p>
      <w:pPr>
        <w:jc w:val="both"/>
      </w:pPr>
      <w:r>
        <w:t>același număr.</w:t>
      </w:r>
    </w:p>
    <w:p>
      <w:pPr>
        <w:pStyle w:val="Heading3"/>
      </w:pPr>
      <w:r>
        <w:t>6.3 Obligația se urmărește lunar</w:t>
      </w:r>
    </w:p>
    <w:p>
      <w:pPr>
        <w:jc w:val="both"/>
      </w:pPr>
      <w:r>
        <w:t>Regula, cu accentul formatorului: **te interesează, lună de lună, obligația de plată — nu când</w:t>
      </w:r>
    </w:p>
    <w:p>
      <w:pPr>
        <w:jc w:val="both"/>
      </w:pPr>
      <w:r>
        <w:t>se plătește.</w:t>
      </w:r>
      <w:r>
        <w:rPr>
          <w:b/>
        </w:rPr>
        <w:t xml:space="preserve"> Consecința practică: fișă </w:t>
      </w:r>
      <w:r>
        <w:t xml:space="preserve">pe analitic la </w:t>
      </w:r>
      <w:r>
        <w:rPr>
          <w:rFonts w:ascii="Consolas" w:hAnsi="Consolas"/>
          <w:color w:val="1F4E79"/>
          <w:sz w:val="19"/>
        </w:rPr>
        <w:t>462</w:t>
      </w:r>
      <w:r>
        <w:t>**, din care se vede ce s-a</w:t>
      </w:r>
    </w:p>
    <w:p>
      <w:pPr>
        <w:jc w:val="both"/>
      </w:pPr>
      <w:r>
        <w:t>plătit și care e soldul.</w:t>
      </w:r>
    </w:p>
    <w:p>
      <w:pPr>
        <w:jc w:val="both"/>
      </w:pPr>
      <w:r>
        <w:t xml:space="preserve">↳ </w:t>
      </w:r>
      <w:r>
        <w:rPr>
          <w:rFonts w:ascii="Consolas" w:hAnsi="Consolas"/>
          <w:color w:val="1F4E79"/>
          <w:sz w:val="19"/>
        </w:rPr>
        <w:t>462</w:t>
      </w:r>
      <w:r>
        <w:t xml:space="preserve"> era până acum un </w:t>
      </w:r>
      <w:r>
        <w:rPr>
          <w:b/>
        </w:rPr>
        <w:t>gol declarat</w:t>
      </w:r>
      <w:r>
        <w:t xml:space="preserve"> în disciplina de închidere: „Nu există flux pe</w:t>
      </w:r>
    </w:p>
    <w:p>
      <w:pPr>
        <w:jc w:val="both"/>
      </w:pPr>
      <w:r>
        <w:t>debitori/creditori diverși”. Chiriile de la persoane fizice sunt exact cazul care îl umple.</w:t>
      </w:r>
    </w:p>
    <w:p>
      <w:pPr>
        <w:pStyle w:val="Heading3"/>
      </w:pPr>
      <w:r>
        <w:t>6.4 Declarațiile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codul </w:t>
            </w:r>
            <w:r>
              <w:rPr>
                <w:b/>
                <w:sz w:val="18"/>
              </w:rPr>
              <w:t>628</w:t>
            </w:r>
            <w:r>
              <w:rPr>
                <w:sz w:val="18"/>
              </w:rPr>
              <w:t xml:space="preserve"> — impozitul pe chiria plătită persoanei fizice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D205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informativă, pe CNP, se depune </w:t>
            </w:r>
            <w:r>
              <w:rPr>
                <w:b/>
                <w:sz w:val="18"/>
              </w:rPr>
              <w:t>în ultima zi a lui februarie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cod </w:t>
            </w:r>
            <w:r>
              <w:rPr>
                <w:b/>
                <w:sz w:val="18"/>
              </w:rPr>
              <w:t>34</w:t>
            </w:r>
            <w:r>
              <w:rPr>
                <w:sz w:val="18"/>
              </w:rPr>
              <w:t xml:space="preserve"> la chirii, cod </w:t>
            </w:r>
            <w:r>
              <w:rPr>
                <w:b/>
                <w:sz w:val="18"/>
              </w:rPr>
              <w:t>35</w:t>
            </w:r>
            <w:r>
              <w:rPr>
                <w:sz w:val="18"/>
              </w:rPr>
              <w:t xml:space="preserve"> la prestări servicii</w:t>
            </w:r>
          </w:p>
        </w:tc>
      </w:tr>
    </w:tbl>
    <w:p/>
    <w:p>
      <w:pPr>
        <w:jc w:val="both"/>
      </w:pPr>
      <w:r>
        <w:t xml:space="preserve">⚠️ Fără codurile 34/35 atașate, </w:t>
      </w:r>
      <w:r>
        <w:rPr>
          <w:b/>
        </w:rPr>
        <w:t>D394 nu se validează</w:t>
      </w:r>
      <w:r>
        <w:t xml:space="preserve"> — e refuz la depunere, nu eroare</w:t>
      </w:r>
    </w:p>
    <w:p>
      <w:pPr>
        <w:jc w:val="both"/>
      </w:pPr>
      <w:r>
        <w:t>descoperită târziu. Regula privește tot ce înseamnă achiziții de la persoane **neplătitoare</w:t>
      </w:r>
    </w:p>
    <w:p>
      <w:pPr>
        <w:jc w:val="both"/>
      </w:pPr>
      <w:r>
        <w:t>de TVA**.</w:t>
      </w:r>
    </w:p>
    <w:p>
      <w:pPr>
        <w:jc w:val="both"/>
      </w:pPr>
      <w:r>
        <w:t>➕ Procedura pentru D205, ca să nu ajungi la rectificativă: **scoți din fișa pe plătitor ce ai</w:t>
      </w:r>
    </w:p>
    <w:p>
      <w:pPr>
        <w:jc w:val="both"/>
      </w:pPr>
      <w:r>
        <w:t>declarat în D100** și compari, pentru că D205 se confruntă cu D100 — la dividende, la impozitul</w:t>
      </w:r>
    </w:p>
    <w:p>
      <w:pPr>
        <w:jc w:val="both"/>
      </w:pPr>
      <w:r>
        <w:t>pe venituri din alte surse și la chirii — chiar dacă D205 e doar informativă.</w:t>
      </w:r>
    </w:p>
    <w:p>
      <w:pPr>
        <w:jc w:val="both"/>
      </w:pPr>
      <w:r>
        <w:t>❓ Notița spune „207 = dividende pentru persoane juridice + impozitul pentru nerezidenți”, cu</w:t>
      </w:r>
    </w:p>
    <w:p>
      <w:pPr>
        <w:jc w:val="both"/>
      </w:pPr>
      <w:r>
        <w:t>mențiunea formatorului „{de contraverificat}”. O las marcată: D207 e declarația informativă</w:t>
      </w:r>
    </w:p>
    <w:p>
      <w:pPr>
        <w:jc w:val="both"/>
      </w:pPr>
      <w:r>
        <w:t xml:space="preserve">pentru </w:t>
      </w:r>
      <w:r>
        <w:rPr>
          <w:b/>
        </w:rPr>
        <w:t>beneficiari nerezidenți</w:t>
      </w:r>
      <w:r>
        <w:t>, iar partea cu dividendele către persoane juridice rezidente</w:t>
      </w:r>
    </w:p>
    <w:p>
      <w:pPr>
        <w:jc w:val="both"/>
      </w:pPr>
      <w:r>
        <w:t>pare să aparțină altui formular.</w:t>
      </w:r>
    </w:p>
    <w:p>
      <w:pPr>
        <w:pStyle w:val="Heading2"/>
      </w:pPr>
      <w:r>
        <w:t>7. Bilanțul</w:t>
      </w:r>
    </w:p>
    <w:p>
      <w:pPr>
        <w:pStyle w:val="Heading3"/>
      </w:pPr>
      <w:r>
        <w:t>7.1 Structura pe formulare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Formular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preia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partea de </w:t>
            </w:r>
            <w:r>
              <w:rPr>
                <w:b/>
                <w:sz w:val="18"/>
              </w:rPr>
              <w:t>solduri</w:t>
            </w:r>
            <w:r>
              <w:rPr>
                <w:sz w:val="18"/>
              </w:rPr>
              <w:t>, la decembrie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F20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cheltuieli și venituri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121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F30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numărul de salariați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F40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corelațiile de imobilizări, cu F10</w:t>
            </w:r>
          </w:p>
        </w:tc>
      </w:tr>
    </w:tbl>
    <w:p/>
    <w:p>
      <w:pPr>
        <w:jc w:val="both"/>
      </w:pPr>
      <w:r>
        <w:t xml:space="preserve">Corelațiile numite: în </w:t>
      </w:r>
      <w:r>
        <w:rPr>
          <w:b/>
        </w:rPr>
        <w:t>F10</w:t>
      </w:r>
      <w:r>
        <w:t xml:space="preserve">, imobilizările se corelează cu </w:t>
      </w:r>
      <w:r>
        <w:rPr>
          <w:b/>
        </w:rPr>
        <w:t>F40</w:t>
      </w:r>
      <w:r>
        <w:t>, iar **activul net =</w:t>
      </w:r>
    </w:p>
    <w:p>
      <w:pPr>
        <w:jc w:val="both"/>
      </w:pPr>
      <w:r>
        <w:t>capitalurile proprii**.</w:t>
      </w:r>
    </w:p>
    <w:p>
      <w:pPr>
        <w:jc w:val="both"/>
      </w:pPr>
      <w:r>
        <w:t xml:space="preserve">⚠️ „Active − pasive” din notiță nu e egalitatea clasică de bilanț, ci </w:t>
      </w:r>
      <w:r>
        <w:rPr>
          <w:b/>
        </w:rPr>
        <w:t>activul net</w:t>
      </w:r>
      <w:r>
        <w:t>, care se</w:t>
      </w:r>
    </w:p>
    <w:p>
      <w:pPr>
        <w:jc w:val="both"/>
      </w:pPr>
      <w:r>
        <w:t>confruntă cu capitalurile proprii. E o corelație de control, nu identitatea contabilă.</w:t>
      </w:r>
    </w:p>
    <w:p>
      <w:pPr>
        <w:pStyle w:val="Heading3"/>
      </w:pPr>
      <w:r>
        <w:t>7.2 Condițiile de pornire</w:t>
      </w:r>
    </w:p>
    <w:p>
      <w:pPr>
        <w:pStyle w:val="ListBullet"/>
      </w:pPr>
      <w:r>
        <w:t xml:space="preserve">până la bilanț trebuie să avem </w:t>
      </w:r>
      <w:r>
        <w:rPr>
          <w:b/>
        </w:rPr>
        <w:t>balanța întocmită</w:t>
      </w:r>
      <w:r>
        <w:t>;</w:t>
      </w:r>
    </w:p>
    <w:p>
      <w:pPr>
        <w:pStyle w:val="ListBullet"/>
      </w:pPr>
      <w:r>
        <w:t xml:space="preserve">dacă avem conturi cu </w:t>
      </w:r>
      <w:r>
        <w:rPr>
          <w:b/>
        </w:rPr>
        <w:t>soldurile pe invers</w:t>
      </w:r>
      <w:r>
        <w:t>, nu generăm bilanțul deloc.</w:t>
      </w:r>
    </w:p>
    <w:p>
      <w:pPr>
        <w:jc w:val="both"/>
      </w:pPr>
      <w:r>
        <w:t>↳ a doua condiție e chiar C-23 (sold contrar naturii contului), promovată de la verificare de</w:t>
      </w:r>
    </w:p>
    <w:p>
      <w:pPr>
        <w:jc w:val="both"/>
      </w:pPr>
      <w:r>
        <w:t xml:space="preserve">lună la </w:t>
      </w:r>
      <w:r>
        <w:rPr>
          <w:b/>
        </w:rPr>
        <w:t>condiție de poartă</w:t>
      </w:r>
      <w:r>
        <w:t xml:space="preserve"> pentru bilanț.</w:t>
      </w:r>
    </w:p>
    <w:p>
      <w:pPr>
        <w:pStyle w:val="Heading3"/>
      </w:pPr>
      <w:r>
        <w:t>7.3 Nu există bilanț rectificativ</w:t>
      </w:r>
    </w:p>
    <w:p>
      <w:pPr>
        <w:jc w:val="both"/>
      </w:pPr>
      <w:r>
        <w:t xml:space="preserve">Regula, tranșant: </w:t>
      </w:r>
      <w:r>
        <w:rPr>
          <w:b/>
        </w:rPr>
        <w:t>nu există bilanț rectificativ.</w:t>
      </w:r>
      <w:r>
        <w:t xml:space="preserve"> Consecințele:</w:t>
      </w:r>
    </w:p>
    <w:p>
      <w:pPr>
        <w:pStyle w:val="ListBullet"/>
      </w:pPr>
      <w:r>
        <w:t>toate modificările făcute în balanță care nu se mai potrivesc cu bilanțul depus **se explică</w:t>
      </w:r>
    </w:p>
    <w:p>
      <w:pPr>
        <w:jc w:val="both"/>
      </w:pPr>
      <w:r>
        <w:t>în notele bilanțului următor** — asta spune legea;</w:t>
      </w:r>
    </w:p>
    <w:p>
      <w:pPr>
        <w:pStyle w:val="ListBullet"/>
      </w:pPr>
      <w:r>
        <w:t xml:space="preserve">singurele lucruri la care se poate interveni sunt </w:t>
      </w:r>
      <w:r>
        <w:rPr>
          <w:b/>
        </w:rPr>
        <w:t>adresa, codul CAEN și numărul de angajați</w:t>
      </w:r>
      <w:r>
        <w:t>,</w:t>
      </w:r>
    </w:p>
    <w:p>
      <w:pPr>
        <w:jc w:val="both"/>
      </w:pPr>
      <w:r>
        <w:t>și sunt informative;</w:t>
      </w:r>
    </w:p>
    <w:p>
      <w:pPr>
        <w:pStyle w:val="ListBullet"/>
      </w:pPr>
      <w:r>
        <w:t xml:space="preserve">⚠️ dacă modificăm balanța după depunere, apare o problemă </w:t>
      </w:r>
      <w:r>
        <w:rPr>
          <w:b/>
        </w:rPr>
        <w:t>la bănci</w:t>
      </w:r>
      <w:r>
        <w:t>: la o cerere de credit</w:t>
      </w:r>
    </w:p>
    <w:p>
      <w:pPr>
        <w:jc w:val="both"/>
      </w:pPr>
      <w:r>
        <w:t>ei confruntă bilanțul cu balanța.</w:t>
      </w:r>
    </w:p>
    <w:p>
      <w:pPr>
        <w:jc w:val="both"/>
      </w:pPr>
      <w:r>
        <w:t>Corelațiile de bilanț le dă softul; ce rămâne în sarcina ta e să fii sigur că ai **activul pe</w:t>
      </w:r>
    </w:p>
    <w:p>
      <w:pPr>
        <w:jc w:val="both"/>
      </w:pPr>
      <w:r>
        <w:t>debit și pasivul pe credit**.</w:t>
      </w:r>
    </w:p>
    <w:p>
      <w:pPr>
        <w:jc w:val="both"/>
      </w:pPr>
      <w:r>
        <w:t xml:space="preserve">➕ Când bilanțul se face </w:t>
      </w:r>
      <w:r>
        <w:rPr>
          <w:b/>
        </w:rPr>
        <w:t>direct la ANAF</w:t>
      </w:r>
      <w:r>
        <w:t>, aplicația te anunță de neconcordanțe. Dacă îl rulezi</w:t>
      </w:r>
    </w:p>
    <w:p>
      <w:pPr>
        <w:jc w:val="both"/>
      </w:pPr>
      <w:r>
        <w:t>din soft, corelațiile trebuie verificate de tine.</w:t>
      </w:r>
    </w:p>
    <w:p>
      <w:pPr>
        <w:pStyle w:val="Heading3"/>
      </w:pPr>
      <w:r>
        <w:t>7.4 Formularul unic</w:t>
      </w:r>
    </w:p>
    <w:p>
      <w:pPr>
        <w:jc w:val="both"/>
      </w:pPr>
      <w:r>
        <w:t xml:space="preserve">Se urcă „în pliculeț”, cu formularul de contact, pe </w:t>
      </w:r>
      <w:r>
        <w:rPr>
          <w:b/>
        </w:rPr>
        <w:t>SPV</w:t>
      </w:r>
      <w:r>
        <w:t>: adresa, codul CAEN și numărul de</w:t>
      </w:r>
    </w:p>
    <w:p>
      <w:pPr>
        <w:jc w:val="both"/>
      </w:pPr>
      <w:r>
        <w:t>salariați.</w:t>
      </w:r>
    </w:p>
    <w:p>
      <w:pPr>
        <w:pStyle w:val="Heading2"/>
      </w:pPr>
      <w:r>
        <w:t>8. Redepunerea declarațiilor</w:t>
      </w:r>
    </w:p>
    <w:p>
      <w:pPr>
        <w:jc w:val="both"/>
      </w:pPr>
      <w:r>
        <w:rPr>
          <w:b/>
        </w:rPr>
        <w:t>Material nou</w:t>
      </w:r>
      <w:r>
        <w:t>, și e cel mai practic tabel din notițe: fiecare declarație are alt mecanism de</w:t>
      </w:r>
    </w:p>
    <w:p>
      <w:pPr>
        <w:jc w:val="both"/>
      </w:pPr>
      <w:r>
        <w:t>corectare.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Cum se corectează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bifă de rectificativă; prin </w:t>
            </w:r>
            <w:r>
              <w:rPr>
                <w:b/>
                <w:sz w:val="18"/>
              </w:rPr>
              <w:t>D710</w:t>
            </w:r>
            <w:r>
              <w:rPr>
                <w:sz w:val="18"/>
              </w:rPr>
              <w:t xml:space="preserve"> — pui ce ai pus greșit inițial, apoi suma corectă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bifă de rectificativă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D112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bifă de rectificativă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bifă de rectificativă — mai ales pentru sume; un cod de TVA greșit e prins de validare și nu se preia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D205 / D207 / D107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bifă de rectificativă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D300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 are bifă</w:t>
            </w:r>
            <w:r>
              <w:rPr>
                <w:sz w:val="18"/>
              </w:rPr>
              <w:t xml:space="preserve"> — se face </w:t>
            </w:r>
            <w:r>
              <w:rPr>
                <w:b/>
                <w:sz w:val="18"/>
              </w:rPr>
              <w:t>decont de corecții materiale</w:t>
            </w:r>
            <w:r>
              <w:rPr>
                <w:sz w:val="18"/>
              </w:rPr>
              <w:t>, manual, prin formularul de contact, cu toate anexele și cu motivul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 are bifă</w:t>
            </w:r>
            <w:r>
              <w:rPr>
                <w:sz w:val="18"/>
              </w:rPr>
              <w:t xml:space="preserve"> — se depune </w:t>
            </w:r>
            <w:r>
              <w:rPr>
                <w:b/>
                <w:sz w:val="18"/>
              </w:rPr>
              <w:t>peste</w:t>
            </w:r>
            <w:r>
              <w:rPr>
                <w:sz w:val="18"/>
              </w:rPr>
              <w:t xml:space="preserve"> declarația inițială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D406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 are bifă</w:t>
            </w:r>
            <w:r>
              <w:rPr>
                <w:sz w:val="18"/>
              </w:rPr>
              <w:t xml:space="preserve"> — se depune </w:t>
            </w:r>
            <w:r>
              <w:rPr>
                <w:b/>
                <w:sz w:val="18"/>
              </w:rPr>
              <w:t>peste</w:t>
            </w:r>
            <w:r>
              <w:rPr>
                <w:sz w:val="18"/>
              </w:rPr>
              <w:t xml:space="preserve"> declarația inițială</w:t>
            </w:r>
          </w:p>
        </w:tc>
      </w:tr>
    </w:tbl>
    <w:p/>
    <w:p>
      <w:pPr>
        <w:pStyle w:val="Heading3"/>
      </w:pPr>
      <w:r>
        <w:t>8.1 Decontul de corecții materiale</w:t>
      </w:r>
    </w:p>
    <w:p>
      <w:pPr>
        <w:jc w:val="both"/>
      </w:pPr>
      <w:r>
        <w:t xml:space="preserve">Detaliul care contează la D300: decontul de corecții încarcă </w:t>
      </w:r>
      <w:r>
        <w:rPr>
          <w:b/>
        </w:rPr>
        <w:t>doar partea de rulaje din lună</w:t>
      </w:r>
      <w:r>
        <w:t>.</w:t>
      </w:r>
    </w:p>
    <w:p>
      <w:pPr>
        <w:jc w:val="both"/>
      </w:pPr>
      <w:r>
        <w:t>Dacă o factură nu a fost înregistrată cronologic, o înregistrezi și vii pe **regularizări luna</w:t>
      </w:r>
    </w:p>
    <w:p>
      <w:pPr>
        <w:jc w:val="both"/>
      </w:pPr>
      <w:r>
        <w:t>viitoare**.</w:t>
      </w:r>
    </w:p>
    <w:p>
      <w:pPr>
        <w:jc w:val="both"/>
      </w:pPr>
      <w:r>
        <w:t xml:space="preserve">➕ Atenție la </w:t>
      </w:r>
      <w:r>
        <w:rPr>
          <w:rFonts w:ascii="Consolas" w:hAnsi="Consolas"/>
          <w:color w:val="1F4E79"/>
          <w:sz w:val="19"/>
        </w:rPr>
        <w:t>4424</w:t>
      </w:r>
      <w:r>
        <w:t xml:space="preserve"> preluat greșit din decontul trecut: sistemul trimite o </w:t>
      </w:r>
      <w:r>
        <w:rPr>
          <w:b/>
        </w:rPr>
        <w:t>atentionare</w:t>
      </w:r>
      <w:r>
        <w:t>, nu o</w:t>
      </w:r>
    </w:p>
    <w:p>
      <w:pPr>
        <w:jc w:val="both"/>
      </w:pPr>
      <w:r>
        <w:t>eroare. E o distincție care schimbă reacția — atenționarea nu blochează depunerea.</w:t>
      </w:r>
    </w:p>
    <w:p>
      <w:pPr>
        <w:pStyle w:val="Heading3"/>
      </w:pPr>
      <w:r>
        <w:t>8.2 Unde te uiți când corectezi</w:t>
      </w:r>
    </w:p>
    <w:p>
      <w:pPr>
        <w:jc w:val="both"/>
      </w:pPr>
      <w:r>
        <w:t xml:space="preserve">Regula scurtă: </w:t>
      </w:r>
      <w:r>
        <w:rPr>
          <w:b/>
        </w:rPr>
        <w:t>la rectificativă te uiți în declarație, nu în balanță.</w:t>
      </w:r>
      <w:r>
        <w:t xml:space="preserve"> Declarația depusă e</w:t>
      </w:r>
    </w:p>
    <w:p>
      <w:pPr>
        <w:jc w:val="both"/>
      </w:pPr>
      <w:r>
        <w:t>faptul care se corectează; balanța e doar sursa cifrei corecte.</w:t>
      </w:r>
    </w:p>
    <w:p>
      <w:pPr>
        <w:pStyle w:val="Heading2"/>
      </w:pPr>
      <w:r>
        <w:t>9. Reevaluările făcute cu întârziere</w:t>
      </w:r>
    </w:p>
    <w:p>
      <w:pPr>
        <w:jc w:val="both"/>
      </w:pPr>
      <w:r>
        <w:t>Exemplul din notiță: dacă nu ai făcut reevaluările în februarie și ai depus D100 în martie, faci</w:t>
      </w:r>
    </w:p>
    <w:p>
      <w:pPr>
        <w:jc w:val="both"/>
      </w:pPr>
      <w:r>
        <w:t xml:space="preserve">reevaluările în </w:t>
      </w:r>
      <w:r>
        <w:rPr>
          <w:b/>
        </w:rPr>
        <w:t>aprilie / luna curentă deschisă</w:t>
      </w:r>
      <w:r>
        <w:t xml:space="preserve"> și depui D100 corect în **trimestrul</w:t>
      </w:r>
    </w:p>
    <w:p>
      <w:pPr>
        <w:jc w:val="both"/>
      </w:pPr>
      <w:r>
        <w:t>următor**. Nu se redeschide luna închisă.</w:t>
      </w:r>
    </w:p>
    <w:p>
      <w:pPr>
        <w:pStyle w:val="Heading2"/>
      </w:pPr>
      <w:r>
        <w:t>10. Handover-ul final</w:t>
      </w:r>
    </w:p>
    <w:p>
      <w:pPr>
        <w:jc w:val="both"/>
      </w:pPr>
      <w:r>
        <w:t>Cele două referințe cu care formatorul închide, ambele de ținut la îndemână:</w:t>
      </w:r>
    </w:p>
    <w:p>
      <w:pPr>
        <w:pStyle w:val="ListBullet"/>
      </w:pPr>
      <w:r>
        <w:rPr>
          <w:b/>
        </w:rPr>
        <w:t>OMFP 1802</w:t>
      </w:r>
      <w:r>
        <w:t xml:space="preserve">, partea a 2-a din secțiunea de contabilitate — </w:t>
      </w:r>
      <w:r>
        <w:rPr>
          <w:b/>
        </w:rPr>
        <w:t>corelațiile la planul de conturi</w:t>
      </w:r>
      <w:r>
        <w:t>;</w:t>
      </w:r>
    </w:p>
    <w:p>
      <w:pPr>
        <w:pStyle w:val="ListBullet"/>
      </w:pPr>
      <w:r>
        <w:rPr>
          <w:b/>
        </w:rPr>
        <w:t>catalogul mijloacelor fixe</w:t>
      </w:r>
      <w:r>
        <w:t xml:space="preserve"> — pentru încadrarea corectă.</w:t>
      </w:r>
    </w:p>
    <w:p>
      <w:pPr>
        <w:jc w:val="both"/>
      </w:pPr>
      <w:r>
        <w:t xml:space="preserve">Se predau în ambele forme: </w:t>
      </w:r>
      <w:r>
        <w:rPr>
          <w:b/>
        </w:rPr>
        <w:t>digital și pe hârtie</w:t>
      </w:r>
      <w:r>
        <w:t>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Ce e încă provizoriu în documentul ăsta. Lista nu e scrisă aici: vine din </w:t>
      </w:r>
      <w:r>
        <w:rPr>
          <w:rFonts w:ascii="Consolas" w:hAnsi="Consolas"/>
          <w:color w:val="1F4E79"/>
          <w:sz w:val="19"/>
        </w:rPr>
        <w:t>date/intrebari.py</w:t>
      </w:r>
      <w:r>
        <w:t>, aceeași sursă cu foaia „Întrebări deschise” a workbook-ului și cu lista trimisibilă formatorului.</w:t>
      </w:r>
    </w:p>
    <w:p>
      <w:pPr>
        <w:jc w:val="both"/>
      </w:pPr>
      <w:r>
        <w:rPr>
          <w:b/>
        </w:rPr>
        <w:t>❓ Ce cuprinde de fapt D207 — doar veniturile plătite nerezidenților, sau și dividendele către persoane juridice rezidente?</w:t>
      </w:r>
    </w:p>
    <w:p>
      <w:pPr>
        <w:jc w:val="both"/>
      </w:pPr>
      <w:r>
        <w:rPr>
          <w:i/>
        </w:rPr>
        <w:t>Declarații informative și avantaje salariale · training 31.08.2026, punctul 1</w:t>
      </w:r>
    </w:p>
    <w:p>
      <w:pPr>
        <w:jc w:val="both"/>
      </w:pPr>
      <w:r>
        <w:t>Notița spune „207 = dividende pentru persoane juridice + impozitul pentru nerezidenți”, dar formatorul a marcat-o el însuși „{de contraverificat}”. Cele două jumătăți ale afirmației par să aparțină unor formulare diferite.</w:t>
      </w:r>
    </w:p>
    <w:p>
      <w:pPr>
        <w:jc w:val="both"/>
      </w:pPr>
      <w:r>
        <w:rPr>
          <w:b/>
        </w:rPr>
        <w:t>Ce am presupus între timp:</w:t>
      </w:r>
      <w:r>
        <w:t xml:space="preserve"> Am consemnat afirmația ca atare, marcată ❓, și n-am construit niciun checklist pe ea. D207 nu apare în tabelul de rectificative decât cu bifa, care e sigură.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84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Documentul închide o buclă rămasă deschisă de la trainingul 5: MOD_CONTROL_BALANTA verifica balanța contra fișei pe plătitor la TVA și la salarii, dar nimic nu spunea de unde vine fișa pe plătitor și ce se întâmplă când declarația e greșită. Aici se spune — inclusiv că unele declarații se corectează cu bifă, altele se depun peste, iar bilanțul nu se corectează deloc.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