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21.08.2026 și 28.08.2026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w:t>
      </w:r>
      <w:r>
        <w:t xml:space="preserve"> „Venituri din vânzarea produselor finite" — la vânzare (în multe softuri se ține pe analiticul </w:t>
      </w:r>
      <w:r>
        <w:rPr>
          <w:b/>
        </w:rPr>
        <w:t>7015</w:t>
      </w:r>
      <w:r>
        <w:t>).</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w:t>
      </w:r>
      <w:r>
        <w:t xml:space="preserve"> (+ 711 pe traseu); 7015 e analiticul lui în multe softuri.</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3"/>
      </w:pPr>
      <w:r>
        <w:t>5.5 Ce operațiuni intră</w:t>
      </w:r>
    </w:p>
    <w:p>
      <w:pPr>
        <w:jc w:val="both"/>
      </w:pPr>
      <w:r>
        <w:t xml:space="preserve">Taxarea inversă e o </w:t>
      </w:r>
      <w:r>
        <w:rPr>
          <w:b/>
        </w:rPr>
        <w:t>măsură fiscală de protecție</w:t>
      </w:r>
      <w:r>
        <w:t>: statul mută obligația de plată a</w:t>
      </w:r>
    </w:p>
    <w:p>
      <w:pPr>
        <w:jc w:val="both"/>
      </w:pPr>
      <w:r>
        <w:t>TVA de la furnizor la cumpărător, în domeniile unde frauda e cea mai ușoară.</w:t>
      </w:r>
    </w:p>
    <w:p>
      <w:pPr>
        <w:jc w:val="both"/>
      </w:pPr>
      <w:r>
        <w:t>Din lista discutată la curs:</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Operațiunea</w:t>
            </w:r>
          </w:p>
        </w:tc>
        <w:tc>
          <w:tcPr>
            <w:tcW w:type="dxa" w:w="4320"/>
          </w:tcPr>
          <w:p>
            <w:pPr>
              <w:spacing w:after="40"/>
            </w:pPr>
            <w:r>
              <w:rPr>
                <w:b/>
                <w:sz w:val="18"/>
              </w:rPr>
            </w:r>
            <w:r>
              <w:rPr>
                <w:b/>
                <w:sz w:val="18"/>
              </w:rPr>
              <w:t>Nuanța care se uită</w:t>
            </w:r>
          </w:p>
        </w:tc>
      </w:tr>
      <w:tr>
        <w:tc>
          <w:tcPr>
            <w:tcW w:type="dxa" w:w="4320"/>
          </w:tcPr>
          <w:p>
            <w:pPr>
              <w:spacing w:after="40"/>
            </w:pPr>
            <w:r>
              <w:rPr>
                <w:sz w:val="18"/>
              </w:rPr>
            </w:r>
            <w:r>
              <w:rPr>
                <w:sz w:val="18"/>
              </w:rPr>
              <w:t>Construcții și terenuri</w:t>
            </w:r>
          </w:p>
        </w:tc>
        <w:tc>
          <w:tcPr>
            <w:tcW w:type="dxa" w:w="4320"/>
          </w:tcPr>
          <w:p>
            <w:pPr>
              <w:spacing w:after="40"/>
            </w:pPr>
            <w:r>
              <w:rPr>
                <w:sz w:val="18"/>
              </w:rPr>
            </w:r>
            <w:r>
              <w:rPr>
                <w:sz w:val="18"/>
              </w:rPr>
              <w:t xml:space="preserve">Se aplică la livrările </w:t>
            </w:r>
            <w:r>
              <w:rPr>
                <w:b/>
                <w:sz w:val="18"/>
              </w:rPr>
              <w:t>taxabile</w:t>
            </w:r>
            <w:r>
              <w:rPr>
                <w:sz w:val="18"/>
              </w:rPr>
              <w:t xml:space="preserve"> — construcțiile noi sunt taxabile prin efectul legii, cele vechi doar prin opțiune</w:t>
            </w:r>
          </w:p>
        </w:tc>
      </w:tr>
      <w:tr>
        <w:tc>
          <w:tcPr>
            <w:tcW w:type="dxa" w:w="4320"/>
          </w:tcPr>
          <w:p>
            <w:pPr>
              <w:spacing w:after="40"/>
            </w:pPr>
            <w:r>
              <w:rPr>
                <w:sz w:val="18"/>
              </w:rPr>
            </w:r>
            <w:r>
              <w:rPr>
                <w:sz w:val="18"/>
              </w:rPr>
              <w:t>Cereale și plante tehnice</w:t>
            </w:r>
          </w:p>
        </w:tc>
        <w:tc>
          <w:tcPr>
            <w:tcW w:type="dxa" w:w="4320"/>
          </w:tcPr>
          <w:p>
            <w:pPr>
              <w:spacing w:after="40"/>
            </w:pPr>
            <w:r>
              <w:rPr>
                <w:sz w:val="18"/>
              </w:rPr>
            </w:r>
            <w:r>
              <w:rPr>
                <w:b/>
                <w:sz w:val="18"/>
              </w:rPr>
              <w:t>Sămânța pentru însămânțat NU intră</w:t>
            </w:r>
            <w:r>
              <w:rPr>
                <w:sz w:val="18"/>
              </w:rPr>
              <w:t xml:space="preserve"> — are alt cod tarifar decât cerealele de consum</w:t>
            </w:r>
          </w:p>
        </w:tc>
      </w:tr>
      <w:tr>
        <w:tc>
          <w:tcPr>
            <w:tcW w:type="dxa" w:w="4320"/>
          </w:tcPr>
          <w:p>
            <w:pPr>
              <w:spacing w:after="40"/>
            </w:pPr>
            <w:r>
              <w:rPr>
                <w:sz w:val="18"/>
              </w:rPr>
            </w:r>
            <w:r>
              <w:rPr>
                <w:sz w:val="18"/>
              </w:rPr>
              <w:t>Deșeuri feroase și neferoase</w:t>
            </w:r>
          </w:p>
        </w:tc>
        <w:tc>
          <w:tcPr>
            <w:tcW w:type="dxa" w:w="4320"/>
          </w:tcPr>
          <w:p>
            <w:pPr>
              <w:spacing w:after="40"/>
            </w:pPr>
            <w:r>
              <w:rPr>
                <w:sz w:val="18"/>
              </w:rPr>
            </w:r>
            <w:r>
              <w:rPr>
                <w:sz w:val="18"/>
              </w:rPr>
              <w:t>Doar cele din listă, nu orice rebut</w:t>
            </w:r>
          </w:p>
        </w:tc>
      </w:tr>
      <w:tr>
        <w:tc>
          <w:tcPr>
            <w:tcW w:type="dxa" w:w="4320"/>
          </w:tcPr>
          <w:p>
            <w:pPr>
              <w:spacing w:after="40"/>
            </w:pPr>
            <w:r>
              <w:rPr>
                <w:sz w:val="18"/>
              </w:rPr>
            </w:r>
            <w:r>
              <w:rPr>
                <w:sz w:val="18"/>
              </w:rPr>
              <w:t>Masă lemnoasă — cherestea, buștean</w:t>
            </w:r>
          </w:p>
        </w:tc>
        <w:tc>
          <w:tcPr>
            <w:tcW w:type="dxa" w:w="4320"/>
          </w:tcPr>
          <w:p>
            <w:pPr>
              <w:spacing w:after="40"/>
            </w:pPr>
            <w:r>
              <w:rPr>
                <w:sz w:val="18"/>
              </w:rPr>
            </w:r>
            <w:r>
              <w:rPr>
                <w:sz w:val="18"/>
              </w:rPr>
              <w:t>Materialele lemnoase din listă</w:t>
            </w:r>
          </w:p>
        </w:tc>
      </w:tr>
    </w:tbl>
    <w:p/>
    <w:p>
      <w:pPr>
        <w:jc w:val="both"/>
      </w:pPr>
      <w:r>
        <w:t>➕ Precizare la construcții: notița spune „construcții noi (la prima ocupare)”. Criteriul</w:t>
      </w:r>
    </w:p>
    <w:p>
      <w:pPr>
        <w:jc w:val="both"/>
      </w:pPr>
      <w:r>
        <w:t xml:space="preserve">din lege nu e vechimea, ci </w:t>
      </w:r>
      <w:r>
        <w:rPr>
          <w:b/>
        </w:rPr>
        <w:t>regimul livrării</w:t>
      </w:r>
      <w:r>
        <w:t>: taxarea inversă se aplică oriunde</w:t>
      </w:r>
    </w:p>
    <w:p>
      <w:pPr>
        <w:jc w:val="both"/>
      </w:pPr>
      <w:r>
        <w:t xml:space="preserve">livrarea e taxabilă, fie prin efectul legii (construcție nouă), fie prin </w:t>
      </w:r>
      <w:r>
        <w:rPr>
          <w:b/>
        </w:rPr>
        <w:t>opțiunea</w:t>
      </w:r>
    </w:p>
    <w:p>
      <w:pPr>
        <w:jc w:val="both"/>
      </w:pPr>
      <w:r>
        <w:t>vânzătorului (construcție veche). O construcție veche vândută cu opțiune de taxare intră</w:t>
      </w:r>
    </w:p>
    <w:p>
      <w:pPr>
        <w:jc w:val="both"/>
      </w:pPr>
      <w:r>
        <w:t>la fel de bine.</w:t>
      </w:r>
    </w:p>
    <w:p>
      <w:pPr>
        <w:pStyle w:val="Heading3"/>
      </w:pPr>
      <w:r>
        <w:t>5.6 Codurile din nomenclatorul D394</w:t>
      </w:r>
    </w:p>
    <w:p>
      <w:pPr>
        <w:jc w:val="both"/>
      </w:pPr>
      <w:r>
        <w:t xml:space="preserve">Fiecare tip de tranzacție cu taxare inversă are un </w:t>
      </w:r>
      <w:r>
        <w:rPr>
          <w:b/>
        </w:rPr>
        <w:t>cod</w:t>
      </w:r>
      <w:r>
        <w:t xml:space="preserve"> pe care D394 îl recunoaște.</w:t>
      </w:r>
    </w:p>
    <w:p>
      <w:pPr>
        <w:jc w:val="both"/>
      </w:pPr>
      <w:r>
        <w:t xml:space="preserve">Formatorul a dat exemplul deșeurilor — cod </w:t>
      </w:r>
      <w:r>
        <w:rPr>
          <w:b/>
        </w:rPr>
        <w:t>22</w:t>
      </w:r>
      <w:r>
        <w:t>.</w:t>
      </w:r>
    </w:p>
    <w:p>
      <w:pPr>
        <w:jc w:val="both"/>
      </w:pPr>
      <w:r>
        <w:t xml:space="preserve">⚠️ Fără codul asociat, </w:t>
      </w:r>
      <w:r>
        <w:rPr>
          <w:b/>
        </w:rPr>
        <w:t>D394 nu se validează</w:t>
      </w:r>
      <w:r>
        <w:t>. Nu e o eroare de conținut care se vede</w:t>
      </w:r>
    </w:p>
    <w:p>
      <w:pPr>
        <w:jc w:val="both"/>
      </w:pPr>
      <w:r>
        <w:t>la control peste doi ani; e un refuz la depunere, în ziua declarației.</w:t>
      </w:r>
    </w:p>
    <w:p>
      <w:pPr>
        <w:jc w:val="both"/>
      </w:pPr>
      <w:r>
        <w:t xml:space="preserve">➕ Mecanismul nu e nou: e chiar pasul revelator al lui </w:t>
      </w:r>
      <w:r>
        <w:rPr>
          <w:b/>
        </w:rPr>
        <w:t>F-203</w:t>
      </w:r>
      <w:r>
        <w:t>, unde apare cu codul</w:t>
      </w:r>
    </w:p>
    <w:p>
      <w:pPr>
        <w:jc w:val="both"/>
      </w:pPr>
      <w:r>
        <w:rPr>
          <w:b/>
        </w:rPr>
        <w:t>27</w:t>
      </w:r>
      <w:r>
        <w:t xml:space="preserve"> la livrarea de clădiri în regim de taxare inversă. Ce adaugă trainingul ăsta e că</w:t>
      </w:r>
    </w:p>
    <w:p>
      <w:pPr>
        <w:jc w:val="both"/>
      </w:pPr>
      <w:r>
        <w:t xml:space="preserve">regula e </w:t>
      </w:r>
      <w:r>
        <w:rPr>
          <w:b/>
        </w:rPr>
        <w:t>generală</w:t>
      </w:r>
      <w:r>
        <w:t>, nu specifică clădirilor: fiecare categorie din art. 331 are codul</w:t>
      </w:r>
    </w:p>
    <w:p>
      <w:pPr>
        <w:jc w:val="both"/>
      </w:pPr>
      <w:r>
        <w:t>ei, iar deșeurile sunt exemplul al doilea. Regula, formulată o dată pentru toate</w:t>
      </w:r>
    </w:p>
    <w:p>
      <w:pPr>
        <w:jc w:val="both"/>
      </w:pPr>
      <w:r>
        <w:t xml:space="preserve">categoriile: </w:t>
      </w:r>
      <w:r>
        <w:rPr>
          <w:b/>
        </w:rPr>
        <w:t>codul e condiție de recunoaștere declarativă, nu ornament.</w:t>
      </w:r>
    </w:p>
    <w:p>
      <w:pPr>
        <w:jc w:val="both"/>
      </w:pPr>
      <w:r>
        <w:t>❓ Nomenclatorul complet de coduri nu era în notițe și nu se poate reconstitui din</w:t>
      </w:r>
    </w:p>
    <w:p>
      <w:pPr>
        <w:jc w:val="both"/>
      </w:pPr>
      <w:r>
        <w:t>memorie. Se ia din instrucțiunile de completare ale formularului D394, în vigoare la data</w:t>
      </w:r>
    </w:p>
    <w:p>
      <w:pPr>
        <w:jc w:val="both"/>
      </w:pPr>
      <w:r>
        <w:t xml:space="preserve">depunerii, și se atașează configurării programului </w:t>
      </w:r>
      <w:r>
        <w:rPr>
          <w:b/>
        </w:rPr>
        <w:t>înainte</w:t>
      </w:r>
      <w:r>
        <w:t xml:space="preserve"> de prima operațiune cu</w:t>
      </w:r>
    </w:p>
    <w:p>
      <w:pPr>
        <w:jc w:val="both"/>
      </w:pPr>
      <w:r>
        <w:t>taxare inversă, nu la depunere.</w:t>
      </w:r>
    </w:p>
    <w:p>
      <w:pPr>
        <w:pStyle w:val="Heading3"/>
      </w:pPr>
      <w:r>
        <w:t>5.7 Ce se înregistrează și ce nu</w:t>
      </w:r>
    </w:p>
    <w:p>
      <w:pPr>
        <w:jc w:val="both"/>
      </w:pPr>
      <w:r>
        <w:t xml:space="preserve">La </w:t>
      </w:r>
      <w:r>
        <w:rPr>
          <w:b/>
        </w:rPr>
        <w:t>cumpărare</w:t>
      </w:r>
      <w:r>
        <w:t>, autolichidarea produce notă contabilă:</w:t>
      </w:r>
    </w:p>
    <w:p>
      <w:pPr>
        <w:ind w:left="280"/>
      </w:pPr>
      <w:r>
        <w:rPr>
          <w:rFonts w:ascii="Consolas" w:hAnsi="Consolas"/>
          <w:sz w:val="18"/>
        </w:rPr>
        <w:t>4426 = 4427        cu aceeași sumă</w:t>
      </w:r>
    </w:p>
    <w:p>
      <w:pPr>
        <w:jc w:val="both"/>
      </w:pPr>
      <w:r>
        <w:t xml:space="preserve">Suma apare în </w:t>
      </w:r>
      <w:r>
        <w:rPr>
          <w:b/>
        </w:rPr>
        <w:t>ambele jurnale</w:t>
      </w:r>
      <w:r>
        <w:t xml:space="preserve"> — și de cumpărări, și de vânzări — exact ca la</w:t>
      </w:r>
    </w:p>
    <w:p>
      <w:pPr>
        <w:jc w:val="both"/>
      </w:pPr>
      <w:r>
        <w:t>achizițiile intracomunitare.</w:t>
      </w:r>
    </w:p>
    <w:p>
      <w:pPr>
        <w:jc w:val="both"/>
      </w:pPr>
      <w:r>
        <w:t xml:space="preserve">La </w:t>
      </w:r>
      <w:r>
        <w:rPr>
          <w:b/>
        </w:rPr>
        <w:t>livrare</w:t>
      </w:r>
      <w:r>
        <w:t xml:space="preserve"> de bunuri supuse taxării inverse, situația e alta:</w:t>
      </w:r>
    </w:p>
    <w:p>
      <w:pPr>
        <w:jc w:val="both"/>
      </w:pPr>
      <w:r>
        <w:t xml:space="preserve">➕ </w:t>
      </w:r>
      <w:r>
        <w:rPr>
          <w:b/>
        </w:rPr>
        <w:t>Nu se face notă contabilă pentru TVA.</w:t>
      </w:r>
      <w:r>
        <w:t xml:space="preserve"> Furnizorul nu colectează nimic: factura</w:t>
      </w:r>
    </w:p>
    <w:p>
      <w:pPr>
        <w:jc w:val="both"/>
      </w:pPr>
      <w:r>
        <w:t>poartă mențiunea „taxare inversă”, iar obligația trece la cumpărător. Ce rămâne în sarcina</w:t>
      </w:r>
    </w:p>
    <w:p>
      <w:pPr>
        <w:jc w:val="both"/>
      </w:pPr>
      <w:r>
        <w:t xml:space="preserve">furnizorului e </w:t>
      </w:r>
      <w:r>
        <w:rPr>
          <w:b/>
        </w:rPr>
        <w:t>mențiunea în jurnalul de vânzări</w:t>
      </w:r>
      <w:r>
        <w:t xml:space="preserve"> și </w:t>
      </w:r>
      <w:r>
        <w:rPr>
          <w:b/>
        </w:rPr>
        <w:t>codul de operațiune</w:t>
      </w:r>
      <w:r>
        <w:t xml:space="preserve"> pentru</w:t>
      </w:r>
    </w:p>
    <w:p>
      <w:pPr>
        <w:jc w:val="both"/>
      </w:pPr>
      <w:r>
        <w:t>D394. Cine caută nota contabilă la livrare n-o găsește pentru că nu există — nu pentru că</w:t>
      </w:r>
    </w:p>
    <w:p>
      <w:pPr>
        <w:jc w:val="both"/>
      </w:pPr>
      <w:r>
        <w:t>a uitat-o cineva.</w:t>
      </w:r>
    </w:p>
    <w:p>
      <w:pPr>
        <w:jc w:val="both"/>
      </w:pPr>
      <w:r>
        <w:t xml:space="preserve">Codul se asociază </w:t>
      </w:r>
      <w:r>
        <w:rPr>
          <w:b/>
        </w:rPr>
        <w:t>și la intrare, și la ieșire</w:t>
      </w:r>
      <w:r>
        <w:t>.</w:t>
      </w:r>
    </w:p>
    <w:p>
      <w:pPr>
        <w:pStyle w:val="Heading3"/>
      </w:pPr>
      <w:r>
        <w:t>5.8 Rubricile separate din jurnale</w:t>
      </w:r>
    </w:p>
    <w:p>
      <w:pPr>
        <w:jc w:val="both"/>
      </w:pPr>
      <w:r>
        <w:t>Jurnalele trebuie să aibă rubrici distincte, nu o coloană comună:</w:t>
      </w:r>
    </w:p>
    <w:p>
      <w:pPr>
        <w:pStyle w:val="ListBullet"/>
      </w:pPr>
      <w:r>
        <w:t>taxare inversă România</w:t>
      </w:r>
    </w:p>
    <w:p>
      <w:pPr>
        <w:pStyle w:val="ListBullet"/>
      </w:pPr>
      <w:r>
        <w:t>taxare inversă intracomunitară</w:t>
      </w:r>
    </w:p>
    <w:p>
      <w:pPr>
        <w:pStyle w:val="ListBullet"/>
      </w:pPr>
      <w:r>
        <w:t>achiziții scutite (de la neplătitori de TVA)</w:t>
      </w:r>
    </w:p>
    <w:p>
      <w:pPr>
        <w:pStyle w:val="ListBullet"/>
      </w:pPr>
      <w:r>
        <w:t>importuri</w:t>
      </w:r>
    </w:p>
    <w:p>
      <w:pPr>
        <w:jc w:val="both"/>
      </w:pPr>
      <w:r>
        <w:t>➕ Rostul separării: fiecare rubrică alimentează alt rând din D300 și altă declarație</w:t>
      </w:r>
    </w:p>
    <w:p>
      <w:pPr>
        <w:jc w:val="both"/>
      </w:pPr>
      <w:r>
        <w:t>(D390 doar la intracomunitar). Amestecate, cifrele sunt corecte în total și greșite pe</w:t>
      </w:r>
    </w:p>
    <w:p>
      <w:pPr>
        <w:jc w:val="both"/>
      </w:pPr>
      <w:r>
        <w:t>fiecare rând.</w:t>
      </w:r>
    </w:p>
    <w:p>
      <w:pPr>
        <w:pStyle w:val="Heading3"/>
      </w:pPr>
      <w:r>
        <w:t>5.9 Când factura vine din afară cu TVA străin</w:t>
      </w:r>
    </w:p>
    <w:p>
      <w:pPr>
        <w:jc w:val="both"/>
      </w:pPr>
      <w:r>
        <w:t xml:space="preserve">Situațiile numite: când produsul </w:t>
      </w:r>
      <w:r>
        <w:rPr>
          <w:b/>
        </w:rPr>
        <w:t>pleacă din România</w:t>
      </w:r>
      <w:r>
        <w:t>, sau când **nu s-a dat codul de TVA cu</w:t>
      </w:r>
    </w:p>
    <w:p>
      <w:pPr>
        <w:jc w:val="both"/>
      </w:pPr>
      <w:r>
        <w:t>prefix RO**.</w:t>
      </w:r>
    </w:p>
    <w:p>
      <w:pPr>
        <w:jc w:val="both"/>
      </w:pPr>
      <w:r>
        <w:t xml:space="preserve">Primul lucru de cerut: </w:t>
      </w:r>
      <w:r>
        <w:rPr>
          <w:b/>
        </w:rPr>
        <w:t>AWB / CMR</w:t>
      </w:r>
      <w:r>
        <w:t xml:space="preserve"> — documentul de transport care arată că marfa chiar a</w:t>
      </w:r>
    </w:p>
    <w:p>
      <w:pPr>
        <w:jc w:val="both"/>
      </w:pPr>
      <w:r>
        <w:t>plecat din Ungaria și a ajuns în România.</w:t>
      </w:r>
    </w:p>
    <w:p>
      <w:pPr>
        <w:jc w:val="both"/>
      </w:pPr>
      <w:r>
        <w:t xml:space="preserve">⚠️ Regula care se ratează cel mai des: dacă livrarea e </w:t>
      </w:r>
      <w:r>
        <w:rPr>
          <w:b/>
        </w:rPr>
        <w:t>din România în România</w:t>
      </w:r>
      <w:r>
        <w:t>, chiar dacă</w:t>
      </w:r>
    </w:p>
    <w:p>
      <w:pPr>
        <w:jc w:val="both"/>
      </w:pPr>
      <w:r>
        <w:t xml:space="preserve">furnizorul e o firmă din afara țării, operațiunea se pune pe </w:t>
      </w:r>
      <w:r>
        <w:rPr>
          <w:b/>
        </w:rPr>
        <w:t>scutită</w:t>
      </w:r>
      <w:r>
        <w:t xml:space="preserve"> — nu pe taxare inversă.</w:t>
      </w:r>
    </w:p>
    <w:p>
      <w:pPr>
        <w:jc w:val="both"/>
      </w:pPr>
      <w:r>
        <w:t>Criteriul e traseul fizic al bunului, nu naționalitatea furnizorului.</w:t>
      </w:r>
    </w:p>
    <w:p>
      <w:pPr>
        <w:pStyle w:val="Heading3"/>
      </w:pPr>
      <w:r>
        <w:t>5.10 Facturile fără trasabilitate</w:t>
      </w:r>
    </w:p>
    <w:p>
      <w:pPr>
        <w:jc w:val="both"/>
      </w:pPr>
      <w:r>
        <w:t>Procedura, luată ca atare: când ai un document care „nu te duce nicăieri”, o iei **din aproape</w:t>
      </w:r>
    </w:p>
    <w:p>
      <w:pPr>
        <w:jc w:val="both"/>
      </w:pPr>
      <w:r>
        <w:t>în aproape</w:t>
      </w:r>
      <w:r>
        <w:rPr>
          <w:b/>
        </w:rPr>
        <w:t xml:space="preserve">. La valori mari, discuțiile se poartă </w:t>
      </w:r>
      <w:r>
        <w:t>în scris** (mail / WhatsApp) — un cabinet</w:t>
      </w:r>
    </w:p>
    <w:p>
      <w:pPr>
        <w:jc w:val="both"/>
      </w:pPr>
      <w:r>
        <w:t>de contabilitate nu își poate asuma singur o trasabilitate pe care n-o poate proba.</w:t>
      </w:r>
    </w:p>
    <w:p>
      <w:pPr>
        <w:jc w:val="both"/>
      </w:pPr>
      <w:r>
        <w:t xml:space="preserve">➕ Singurele care </w:t>
      </w:r>
      <w:r>
        <w:rPr>
          <w:b/>
        </w:rPr>
        <w:t>nu se vămuiesc</w:t>
      </w:r>
      <w:r>
        <w:t xml:space="preserve"> sunt </w:t>
      </w:r>
      <w:r>
        <w:rPr>
          <w:b/>
        </w:rPr>
        <w:t>serviciile</w:t>
      </w:r>
      <w:r>
        <w:t xml:space="preserve"> (coduri de acces etc.); în rest,</w:t>
      </w:r>
    </w:p>
    <w:p>
      <w:pPr>
        <w:jc w:val="both"/>
      </w:pPr>
      <w:r>
        <w:t>bunurile din afara UE se vămuiesc.</w:t>
      </w: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5112</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12. Cheltuielile de clasa 6 și gestiunile de clasa 3</w:t>
      </w:r>
    </w:p>
    <w:p>
      <w:pPr>
        <w:pStyle w:val="Heading3"/>
      </w:pPr>
      <w:r>
        <w:t>12.1 Tabelul corespondențelor</w:t>
      </w:r>
    </w:p>
    <w:p>
      <w:pPr>
        <w:jc w:val="both"/>
      </w:pPr>
      <w:r>
        <w:t>Notița cerea contraverificarea și completarea listei. Fiecare cont de cheltuială are</w:t>
      </w:r>
    </w:p>
    <w:p>
      <w:pPr>
        <w:jc w:val="both"/>
      </w:pPr>
      <w:r>
        <w:t>gestiunea 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Cheltuiala</w:t>
            </w:r>
          </w:p>
        </w:tc>
        <w:tc>
          <w:tcPr>
            <w:tcW w:type="dxa" w:w="2880"/>
          </w:tcPr>
          <w:p>
            <w:pPr>
              <w:spacing w:after="40"/>
            </w:pPr>
            <w:r>
              <w:rPr>
                <w:b/>
                <w:sz w:val="18"/>
              </w:rPr>
            </w:r>
            <w:r>
              <w:rPr>
                <w:b/>
                <w:sz w:val="18"/>
              </w:rPr>
              <w:t>Gestiunea</w:t>
            </w:r>
          </w:p>
        </w:tc>
        <w:tc>
          <w:tcPr>
            <w:tcW w:type="dxa" w:w="2880"/>
          </w:tcPr>
          <w:p>
            <w:pPr>
              <w:spacing w:after="40"/>
            </w:pPr>
            <w:r>
              <w:rPr>
                <w:b/>
                <w:sz w:val="18"/>
              </w:rPr>
            </w:r>
            <w:r>
              <w:rPr>
                <w:b/>
                <w:sz w:val="18"/>
              </w:rPr>
              <w:t>Ce cuprinde</w:t>
            </w:r>
          </w:p>
        </w:tc>
      </w:tr>
      <w:tr>
        <w:tc>
          <w:tcPr>
            <w:tcW w:type="dxa" w:w="2880"/>
          </w:tcPr>
          <w:p>
            <w:pPr>
              <w:spacing w:after="40"/>
            </w:pPr>
            <w:r>
              <w:rPr>
                <w:sz w:val="18"/>
              </w:rPr>
            </w:r>
            <w:r>
              <w:rPr>
                <w:sz w:val="18"/>
              </w:rPr>
              <w:t>601</w:t>
            </w:r>
          </w:p>
        </w:tc>
        <w:tc>
          <w:tcPr>
            <w:tcW w:type="dxa" w:w="2880"/>
          </w:tcPr>
          <w:p>
            <w:pPr>
              <w:spacing w:after="40"/>
            </w:pPr>
            <w:r>
              <w:rPr>
                <w:sz w:val="18"/>
              </w:rPr>
            </w:r>
            <w:r>
              <w:rPr>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sz w:val="18"/>
              </w:rPr>
              <w:t>6021</w:t>
            </w:r>
          </w:p>
        </w:tc>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r>
      <w:tr>
        <w:tc>
          <w:tcPr>
            <w:tcW w:type="dxa" w:w="2880"/>
          </w:tcPr>
          <w:p>
            <w:pPr>
              <w:spacing w:after="40"/>
            </w:pPr>
            <w:r>
              <w:rPr>
                <w:sz w:val="18"/>
              </w:rPr>
            </w:r>
            <w:r>
              <w:rPr>
                <w:sz w:val="18"/>
              </w:rPr>
              <w:t>6022</w:t>
            </w:r>
          </w:p>
        </w:tc>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r>
      <w:tr>
        <w:tc>
          <w:tcPr>
            <w:tcW w:type="dxa" w:w="2880"/>
          </w:tcPr>
          <w:p>
            <w:pPr>
              <w:spacing w:after="40"/>
            </w:pPr>
            <w:r>
              <w:rPr>
                <w:sz w:val="18"/>
              </w:rPr>
            </w:r>
            <w:r>
              <w:rPr>
                <w:sz w:val="18"/>
              </w:rPr>
              <w:t>6023</w:t>
            </w:r>
          </w:p>
        </w:tc>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r>
      <w:tr>
        <w:tc>
          <w:tcPr>
            <w:tcW w:type="dxa" w:w="2880"/>
          </w:tcPr>
          <w:p>
            <w:pPr>
              <w:spacing w:after="40"/>
            </w:pPr>
            <w:r>
              <w:rPr>
                <w:sz w:val="18"/>
              </w:rPr>
            </w:r>
            <w:r>
              <w:rPr>
                <w:sz w:val="18"/>
              </w:rPr>
              <w:t>6024</w:t>
            </w:r>
          </w:p>
        </w:tc>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r>
      <w:tr>
        <w:tc>
          <w:tcPr>
            <w:tcW w:type="dxa" w:w="2880"/>
          </w:tcPr>
          <w:p>
            <w:pPr>
              <w:spacing w:after="40"/>
            </w:pPr>
            <w:r>
              <w:rPr>
                <w:sz w:val="18"/>
              </w:rPr>
            </w:r>
            <w:r>
              <w:rPr>
                <w:sz w:val="18"/>
              </w:rPr>
              <w:t>6028</w:t>
            </w:r>
          </w:p>
        </w:tc>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r>
      <w:tr>
        <w:tc>
          <w:tcPr>
            <w:tcW w:type="dxa" w:w="2880"/>
          </w:tcPr>
          <w:p>
            <w:pPr>
              <w:spacing w:after="40"/>
            </w:pPr>
            <w:r>
              <w:rPr>
                <w:sz w:val="18"/>
              </w:rPr>
            </w:r>
            <w:r>
              <w:rPr>
                <w:sz w:val="18"/>
              </w:rPr>
              <w:t>603</w:t>
            </w:r>
          </w:p>
        </w:tc>
        <w:tc>
          <w:tcPr>
            <w:tcW w:type="dxa" w:w="2880"/>
          </w:tcPr>
          <w:p>
            <w:pPr>
              <w:spacing w:after="40"/>
            </w:pPr>
            <w:r>
              <w:rPr>
                <w:sz w:val="18"/>
              </w:rPr>
            </w:r>
            <w:r>
              <w:rPr>
                <w:sz w:val="18"/>
              </w:rPr>
              <w:t>303</w:t>
            </w:r>
          </w:p>
        </w:tc>
        <w:tc>
          <w:tcPr>
            <w:tcW w:type="dxa" w:w="2880"/>
          </w:tcPr>
          <w:p>
            <w:pPr>
              <w:spacing w:after="40"/>
            </w:pPr>
            <w:r>
              <w:rPr>
                <w:sz w:val="18"/>
              </w:rPr>
            </w:r>
            <w:r>
              <w:rPr>
                <w:sz w:val="18"/>
              </w:rPr>
              <w:t xml:space="preserve">Obiecte de inventar — </w:t>
            </w:r>
            <w:r>
              <w:rPr>
                <w:b/>
                <w:sz w:val="18"/>
              </w:rPr>
              <w:t>și 8035</w:t>
            </w:r>
            <w:r>
              <w:rPr>
                <w:sz w:val="18"/>
              </w:rPr>
              <w:t>, extrabilanțier</w:t>
            </w:r>
          </w:p>
        </w:tc>
      </w:tr>
      <w:tr>
        <w:tc>
          <w:tcPr>
            <w:tcW w:type="dxa" w:w="2880"/>
          </w:tcPr>
          <w:p>
            <w:pPr>
              <w:spacing w:after="40"/>
            </w:pPr>
            <w:r>
              <w:rPr>
                <w:sz w:val="18"/>
              </w:rPr>
            </w:r>
            <w:r>
              <w:rPr>
                <w:sz w:val="18"/>
              </w:rPr>
              <w:t>604</w:t>
            </w:r>
          </w:p>
        </w:tc>
        <w:tc>
          <w:tcPr>
            <w:tcW w:type="dxa" w:w="2880"/>
          </w:tcPr>
          <w:p>
            <w:pPr>
              <w:spacing w:after="40"/>
            </w:pPr>
            <w:r>
              <w:rPr>
                <w:sz w:val="18"/>
              </w:rPr>
            </w:r>
            <w:r>
              <w:rPr>
                <w:sz w:val="18"/>
              </w:rPr>
              <w:t>—</w:t>
            </w:r>
          </w:p>
        </w:tc>
        <w:tc>
          <w:tcPr>
            <w:tcW w:type="dxa" w:w="2880"/>
          </w:tcPr>
          <w:p>
            <w:pPr>
              <w:spacing w:after="40"/>
            </w:pPr>
            <w:r>
              <w:rPr>
                <w:sz w:val="18"/>
              </w:rPr>
            </w:r>
            <w:r>
              <w:rPr>
                <w:sz w:val="18"/>
              </w:rPr>
              <w:t>Materiale nestocate: direct pe cheltuială, fără gestiune</w:t>
            </w:r>
          </w:p>
        </w:tc>
      </w:tr>
      <w:tr>
        <w:tc>
          <w:tcPr>
            <w:tcW w:type="dxa" w:w="2880"/>
          </w:tcPr>
          <w:p>
            <w:pPr>
              <w:spacing w:after="40"/>
            </w:pPr>
            <w:r>
              <w:rPr>
                <w:sz w:val="18"/>
              </w:rPr>
            </w:r>
            <w:r>
              <w:rPr>
                <w:sz w:val="18"/>
              </w:rPr>
              <w:t>605</w:t>
            </w:r>
          </w:p>
        </w:tc>
        <w:tc>
          <w:tcPr>
            <w:tcW w:type="dxa" w:w="2880"/>
          </w:tcPr>
          <w:p>
            <w:pPr>
              <w:spacing w:after="40"/>
            </w:pPr>
            <w:r>
              <w:rPr>
                <w:sz w:val="18"/>
              </w:rPr>
            </w:r>
            <w:r>
              <w:rPr>
                <w:sz w:val="18"/>
              </w:rPr>
              <w:t>—</w:t>
            </w:r>
          </w:p>
        </w:tc>
        <w:tc>
          <w:tcPr>
            <w:tcW w:type="dxa" w:w="2880"/>
          </w:tcPr>
          <w:p>
            <w:pPr>
              <w:spacing w:after="40"/>
            </w:pPr>
            <w:r>
              <w:rPr>
                <w:sz w:val="18"/>
              </w:rPr>
            </w:r>
            <w:r>
              <w:rPr>
                <w:sz w:val="18"/>
              </w:rPr>
              <w:t>Utilități: energie, apă — direct din factură</w:t>
            </w:r>
          </w:p>
        </w:tc>
      </w:tr>
      <w:tr>
        <w:tc>
          <w:tcPr>
            <w:tcW w:type="dxa" w:w="2880"/>
          </w:tcPr>
          <w:p>
            <w:pPr>
              <w:spacing w:after="40"/>
            </w:pPr>
            <w:r>
              <w:rPr>
                <w:sz w:val="18"/>
              </w:rPr>
            </w:r>
            <w:r>
              <w:rPr>
                <w:sz w:val="18"/>
              </w:rPr>
              <w:t>607</w:t>
            </w:r>
          </w:p>
        </w:tc>
        <w:tc>
          <w:tcPr>
            <w:tcW w:type="dxa" w:w="2880"/>
          </w:tcPr>
          <w:p>
            <w:pPr>
              <w:spacing w:after="40"/>
            </w:pPr>
            <w:r>
              <w:rPr>
                <w:sz w:val="18"/>
              </w:rPr>
            </w:r>
            <w:r>
              <w:rPr>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sz w:val="18"/>
              </w:rPr>
              <w:t>608</w:t>
            </w:r>
          </w:p>
        </w:tc>
        <w:tc>
          <w:tcPr>
            <w:tcW w:type="dxa" w:w="2880"/>
          </w:tcPr>
          <w:p>
            <w:pPr>
              <w:spacing w:after="40"/>
            </w:pPr>
            <w:r>
              <w:rPr>
                <w:sz w:val="18"/>
              </w:rPr>
            </w:r>
            <w:r>
              <w:rPr>
                <w:sz w:val="18"/>
              </w:rPr>
              <w:t>381</w:t>
            </w:r>
          </w:p>
        </w:tc>
        <w:tc>
          <w:tcPr>
            <w:tcW w:type="dxa" w:w="2880"/>
          </w:tcPr>
          <w:p>
            <w:pPr>
              <w:spacing w:after="40"/>
            </w:pPr>
            <w:r>
              <w:rPr>
                <w:sz w:val="18"/>
              </w:rPr>
            </w:r>
            <w:r>
              <w:rPr>
                <w:sz w:val="18"/>
              </w:rPr>
              <w:t>Ambalaje</w:t>
            </w:r>
          </w:p>
        </w:tc>
      </w:tr>
      <w:tr>
        <w:tc>
          <w:tcPr>
            <w:tcW w:type="dxa" w:w="2880"/>
          </w:tcPr>
          <w:p>
            <w:pPr>
              <w:spacing w:after="40"/>
            </w:pPr>
            <w:r>
              <w:rPr>
                <w:sz w:val="18"/>
              </w:rPr>
            </w:r>
            <w:r>
              <w:rPr>
                <w:sz w:val="18"/>
              </w:rPr>
              <w:t>609 / 709</w:t>
            </w:r>
          </w:p>
        </w:tc>
        <w:tc>
          <w:tcPr>
            <w:tcW w:type="dxa" w:w="2880"/>
          </w:tcPr>
          <w:p>
            <w:pPr>
              <w:spacing w:after="40"/>
            </w:pPr>
            <w:r>
              <w:rPr>
                <w:sz w:val="18"/>
              </w:rPr>
            </w:r>
            <w:r>
              <w:rPr>
                <w:sz w:val="18"/>
              </w:rPr>
              <w:t>—</w:t>
            </w:r>
          </w:p>
        </w:tc>
        <w:tc>
          <w:tcPr>
            <w:tcW w:type="dxa" w:w="2880"/>
          </w:tcPr>
          <w:p>
            <w:pPr>
              <w:spacing w:after="40"/>
            </w:pPr>
            <w:r>
              <w:rPr>
                <w:sz w:val="18"/>
              </w:rPr>
            </w:r>
            <w:r>
              <w:rPr>
                <w:sz w:val="18"/>
              </w:rPr>
              <w:t xml:space="preserve">Reduceri comerciale primite / acordate, </w:t>
            </w:r>
            <w:r>
              <w:rPr>
                <w:b/>
                <w:sz w:val="18"/>
              </w:rPr>
              <w:t>ulterioare facturii</w:t>
            </w:r>
          </w:p>
        </w:tc>
      </w:tr>
    </w:tbl>
    <w:p/>
    <w:p>
      <w:pPr>
        <w:jc w:val="both"/>
      </w:pPr>
      <w:r>
        <w:t xml:space="preserve">⚠️ Notița scria perechea lui 608 ca </w:t>
      </w:r>
      <w:r>
        <w:rPr>
          <w:rFonts w:ascii="Consolas" w:hAnsi="Consolas"/>
          <w:color w:val="1F4E79"/>
          <w:sz w:val="19"/>
        </w:rPr>
        <w:t>308</w:t>
      </w:r>
      <w:r>
        <w:t xml:space="preserve">. E o transpoziție de cifre: </w:t>
      </w:r>
      <w:r>
        <w:rPr>
          <w:b/>
        </w:rPr>
        <w:t>381</w:t>
      </w:r>
      <w:r>
        <w:t xml:space="preserve"> e contul de</w:t>
      </w:r>
    </w:p>
    <w:p>
      <w:pPr>
        <w:jc w:val="both"/>
      </w:pPr>
      <w:r>
        <w:t xml:space="preserve">ambalaje, iar </w:t>
      </w:r>
      <w:r>
        <w:rPr>
          <w:rFonts w:ascii="Consolas" w:hAnsi="Consolas"/>
          <w:color w:val="1F4E79"/>
          <w:sz w:val="19"/>
        </w:rPr>
        <w:t>308</w:t>
      </w:r>
      <w:r>
        <w:t xml:space="preserve"> e „Diferențe de preț la materii prime și materiale” — un cont</w:t>
      </w:r>
    </w:p>
    <w:p>
      <w:pPr>
        <w:jc w:val="both"/>
      </w:pPr>
      <w:r>
        <w:t>rectificativ, care nu poate fi gestiunea pe care 608 o consumă.</w:t>
      </w:r>
    </w:p>
    <w:p>
      <w:pPr>
        <w:jc w:val="both"/>
      </w:pPr>
      <w:r>
        <w:t xml:space="preserve">➕ 603 e singurul care are și un pas </w:t>
      </w:r>
      <w:r>
        <w:rPr>
          <w:b/>
        </w:rPr>
        <w:t>extrabilanțier</w:t>
      </w:r>
      <w:r>
        <w:t>: obiectele de inventar date în</w:t>
      </w:r>
    </w:p>
    <w:p>
      <w:pPr>
        <w:jc w:val="both"/>
      </w:pPr>
      <w:r>
        <w:t>folosință ies din gestiune, dar rămân pe 8035, ca să știi ce ai pe teren. Fără el, un</w:t>
      </w:r>
    </w:p>
    <w:p>
      <w:pPr>
        <w:jc w:val="both"/>
      </w:pPr>
      <w:r>
        <w:t>obiect dat în folosință dispare din evidență în ziua consumului.</w:t>
      </w:r>
    </w:p>
    <w:p>
      <w:pPr>
        <w:jc w:val="both"/>
      </w:pPr>
      <w:r>
        <w:t>➕ 609/709 nu sunt reducerile de pe factura inițială — alea se scad direct din bază. Sunt</w:t>
      </w:r>
    </w:p>
    <w:p>
      <w:pPr>
        <w:jc w:val="both"/>
      </w:pPr>
      <w:r>
        <w:t xml:space="preserve">reducerile primite sau acordate </w:t>
      </w:r>
      <w:r>
        <w:rPr>
          <w:b/>
        </w:rPr>
        <w:t>ulterior</w:t>
      </w:r>
      <w:r>
        <w:t>, pe o factură separată.</w:t>
      </w:r>
    </w:p>
    <w:p>
      <w:pPr>
        <w:pStyle w:val="Heading3"/>
      </w:pPr>
      <w:r>
        <w:t>12.2 Regula: consumul trece prin gestiune</w:t>
      </w:r>
    </w:p>
    <w:p>
      <w:pPr>
        <w:jc w:val="both"/>
      </w:pPr>
      <w:r>
        <w:t xml:space="preserve">⚠️ </w:t>
      </w:r>
      <w:r>
        <w:rPr>
          <w:b/>
        </w:rPr>
        <w:t>Nu se recomandă înregistrarea directă `6021 = 401`.</w:t>
      </w:r>
      <w:r>
        <w:t xml:space="preserve"> Corect e în doi pași:</w:t>
      </w:r>
    </w:p>
    <w:p>
      <w:pPr>
        <w:ind w:left="280"/>
      </w:pPr>
      <w:r>
        <w:rPr>
          <w:rFonts w:ascii="Consolas" w:hAnsi="Consolas"/>
          <w:sz w:val="18"/>
        </w:rPr>
        <w:t>3021 = 401        intrarea în gestiune</w:t>
        <w:br/>
        <w:t>6021 = 3021       consumul, pe bază de bon de consum</w:t>
      </w:r>
    </w:p>
    <w:p>
      <w:pPr>
        <w:jc w:val="both"/>
      </w:pPr>
      <w:r>
        <w:t xml:space="preserve">Motivul: un bun trecut direct pe cheltuială </w:t>
      </w:r>
      <w:r>
        <w:rPr>
          <w:b/>
        </w:rPr>
        <w:t>n-a intrat niciodată în evidență</w:t>
      </w:r>
      <w:r>
        <w:t>, deci nu</w:t>
      </w:r>
    </w:p>
    <w:p>
      <w:pPr>
        <w:jc w:val="both"/>
      </w:pPr>
      <w:r>
        <w:t>poate fi scos din ea. Nu ai ce inventaria, nu ai ce justifica, și nu poți răspunde la</w:t>
      </w:r>
    </w:p>
    <w:p>
      <w:pPr>
        <w:jc w:val="both"/>
      </w:pPr>
      <w:r>
        <w:t>întrebarea „unde e”.</w:t>
      </w:r>
    </w:p>
    <w:p>
      <w:pPr>
        <w:jc w:val="both"/>
      </w:pPr>
      <w:r>
        <w:t>Verificarea inversă, pe care o face și controlul: **de ce am rulaj pe 601 dacă n-am rulaj</w:t>
      </w:r>
    </w:p>
    <w:p>
      <w:pPr>
        <w:jc w:val="both"/>
      </w:pPr>
      <w:r>
        <w:t>pe 301?** O cheltuială cu materii prime fără gestiune de materii prime spune că bunurile</w:t>
      </w:r>
    </w:p>
    <w:p>
      <w:pPr>
        <w:jc w:val="both"/>
      </w:pPr>
      <w:r>
        <w:t>n-au trecut niciodată prin depozit.</w:t>
      </w:r>
    </w:p>
    <w:p>
      <w:pPr>
        <w:jc w:val="both"/>
      </w:pPr>
      <w:r>
        <w:t xml:space="preserve">➕ De când s-a implementat </w:t>
      </w:r>
      <w:r>
        <w:rPr>
          <w:b/>
        </w:rPr>
        <w:t>SAF-T</w:t>
      </w:r>
      <w:r>
        <w:t>, modulul de stocuri se cere la control. Nu ajunge să</w:t>
      </w:r>
    </w:p>
    <w:p>
      <w:pPr>
        <w:jc w:val="both"/>
      </w:pPr>
      <w:r>
        <w:t xml:space="preserve">existe — trebuie să fie </w:t>
      </w:r>
      <w:r>
        <w:rPr>
          <w:b/>
        </w:rPr>
        <w:t>deja gestionat</w:t>
      </w:r>
      <w:r>
        <w:t xml:space="preserve"> și prezentabil.</w:t>
      </w:r>
    </w:p>
    <w:p>
      <w:pPr>
        <w:pStyle w:val="Heading3"/>
      </w:pPr>
      <w:r>
        <w:t>12.3 Excepțiile</w:t>
      </w:r>
    </w:p>
    <w:p>
      <w:pPr>
        <w:jc w:val="both"/>
      </w:pPr>
      <w:r>
        <w:rPr>
          <w:b/>
        </w:rPr>
        <w:t>Bonul de benzină:</w:t>
      </w:r>
      <w:r>
        <w:t xml:space="preserve"> </w:t>
      </w:r>
      <w:r>
        <w:rPr>
          <w:rFonts w:ascii="Consolas" w:hAnsi="Consolas"/>
          <w:color w:val="1F4E79"/>
          <w:sz w:val="19"/>
        </w:rPr>
        <w:t>6022 = 401</w:t>
      </w:r>
      <w:r>
        <w:t xml:space="preserve"> direct e acceptabil. Când vine factură sau când</w:t>
      </w:r>
    </w:p>
    <w:p>
      <w:pPr>
        <w:jc w:val="both"/>
      </w:pPr>
      <w:r>
        <w:t>combustibilul se stochează, se aplică regula gestiunii.</w:t>
      </w:r>
    </w:p>
    <w:p>
      <w:pPr>
        <w:jc w:val="both"/>
      </w:pPr>
      <w:r>
        <w:rPr>
          <w:b/>
        </w:rPr>
        <w:t>Materialele nestocate (604):</w:t>
      </w:r>
      <w:r>
        <w:t xml:space="preserve"> apa pentru angajați, pixurile, hârtia — bunuri cumpărate</w:t>
      </w:r>
    </w:p>
    <w:p>
      <w:pPr>
        <w:jc w:val="both"/>
      </w:pPr>
      <w:r>
        <w:t>și consumate imediat, care nu se stochează.</w:t>
      </w:r>
    </w:p>
    <w:p>
      <w:pPr>
        <w:jc w:val="both"/>
      </w:pPr>
      <w:r>
        <w:t xml:space="preserve">Criteriul nu e valoarea, ci </w:t>
      </w:r>
      <w:r>
        <w:rPr>
          <w:b/>
        </w:rPr>
        <w:t>dacă bunul stă</w:t>
      </w:r>
      <w:r>
        <w:t>: o mie de pixuri cumpărate de o firmă care</w:t>
      </w:r>
    </w:p>
    <w:p>
      <w:pPr>
        <w:jc w:val="both"/>
      </w:pPr>
      <w:r>
        <w:t>le consumă în timp intră în 3028, cu bon de consum la fiecare ieșire. Aceleași o mie de</w:t>
      </w:r>
    </w:p>
    <w:p>
      <w:pPr>
        <w:jc w:val="both"/>
      </w:pPr>
      <w:r>
        <w:t>pixuri duse toate pe șantier în aceeași zi n-au ce căuta în 3028 — se consumă imediat,</w:t>
      </w:r>
    </w:p>
    <w:p>
      <w:pPr>
        <w:jc w:val="both"/>
      </w:pPr>
      <w:r>
        <w:t>deci 604.</w:t>
      </w:r>
    </w:p>
    <w:p>
      <w:pPr>
        <w:jc w:val="both"/>
      </w:pPr>
      <w:r>
        <w:t xml:space="preserve">➕ Al treilea caz, care lipsea din notiță: dacă firma </w:t>
      </w:r>
      <w:r>
        <w:rPr>
          <w:b/>
        </w:rPr>
        <w:t>revinde</w:t>
      </w:r>
      <w:r>
        <w:t xml:space="preserve"> pixurile, ele nu sunt</w:t>
      </w:r>
    </w:p>
    <w:p>
      <w:pPr>
        <w:jc w:val="both"/>
      </w:pPr>
      <w:r>
        <w:t xml:space="preserve">nici 3028, nici 604 — sunt </w:t>
      </w:r>
      <w:r>
        <w:rPr>
          <w:b/>
        </w:rPr>
        <w:t>marfă, 371</w:t>
      </w:r>
      <w:r>
        <w:t>. Criteriul e destinația, nu obiectul.</w:t>
      </w:r>
    </w:p>
    <w:p>
      <w:pPr>
        <w:jc w:val="both"/>
      </w:pPr>
      <w:r>
        <w:rPr>
          <w:b/>
        </w:rPr>
        <w:t>Anvelopele</w:t>
      </w:r>
      <w:r>
        <w:t xml:space="preserve"> sunt piese de schimb: șapte anvelope cumpărate și folosite pe rând intră în</w:t>
      </w:r>
    </w:p>
    <w:p>
      <w:pPr>
        <w:jc w:val="both"/>
      </w:pPr>
      <w:r>
        <w:rPr>
          <w:b/>
        </w:rPr>
        <w:t>3024</w:t>
      </w:r>
      <w:r>
        <w:t>, nu pe cheltuială directă.</w:t>
      </w:r>
    </w:p>
    <w:p>
      <w:pPr>
        <w:jc w:val="both"/>
      </w:pPr>
      <w:r>
        <w:rPr>
          <w:b/>
        </w:rPr>
        <w:t>Reparațiile (611):</w:t>
      </w:r>
      <w:r>
        <w:t xml:space="preserve"> se folosesc când factura are </w:t>
      </w:r>
      <w:r>
        <w:rPr>
          <w:b/>
        </w:rPr>
        <w:t>deviz</w:t>
      </w:r>
      <w:r>
        <w:t xml:space="preserve"> în spate — de exemplu piese</w:t>
      </w:r>
    </w:p>
    <w:p>
      <w:pPr>
        <w:jc w:val="both"/>
      </w:pPr>
      <w:r>
        <w:t>de 5.000 lei și manoperă de 2.000. Devizul e cel care permite separarea: manopera pe 611,</w:t>
      </w:r>
    </w:p>
    <w:p>
      <w:pPr>
        <w:jc w:val="both"/>
      </w:pPr>
      <w:r>
        <w:t>piesele după regula gestiunii.</w:t>
      </w:r>
    </w:p>
    <w:p>
      <w:pPr>
        <w:pStyle w:val="Heading3"/>
      </w:pPr>
      <w:r>
        <w:t>12.4 Transferul între gestiuni: marfa devenită materie primă</w:t>
      </w:r>
    </w:p>
    <w:p>
      <w:pPr>
        <w:jc w:val="both"/>
      </w:pPr>
      <w:r>
        <w:t xml:space="preserve">Cazul apare des: ai recepționat ceva ca </w:t>
      </w:r>
      <w:r>
        <w:rPr>
          <w:b/>
        </w:rPr>
        <w:t>marfă</w:t>
      </w:r>
      <w:r>
        <w:t xml:space="preserve"> în 371, dar se dovedește că-l consumi</w:t>
      </w:r>
    </w:p>
    <w:p>
      <w:pPr>
        <w:jc w:val="both"/>
      </w:pPr>
      <w:r>
        <w:t>într-o lucrare, nu-l revinzi.</w:t>
      </w:r>
    </w:p>
    <w:p>
      <w:pPr>
        <w:ind w:left="280"/>
      </w:pPr>
      <w:r>
        <w:rPr>
          <w:rFonts w:ascii="Consolas" w:hAnsi="Consolas"/>
          <w:sz w:val="18"/>
        </w:rPr>
        <w:t>301 = 371         transferul, pe bază de bon de transfer</w:t>
        <w:br/>
        <w:t>601 = 301         consumul, pe bază de bon de consum</w:t>
      </w:r>
    </w:p>
    <w:p>
      <w:pPr>
        <w:jc w:val="both"/>
      </w:pPr>
      <w:r>
        <w:t xml:space="preserve">➕ Nu se sare peste primul pas. </w:t>
      </w:r>
      <w:r>
        <w:rPr>
          <w:rFonts w:ascii="Consolas" w:hAnsi="Consolas"/>
          <w:color w:val="1F4E79"/>
          <w:sz w:val="19"/>
        </w:rPr>
        <w:t>601 = 371</w:t>
      </w:r>
      <w:r>
        <w:t xml:space="preserve"> ar asocia o cheltuială cu materii prime unei</w:t>
      </w:r>
    </w:p>
    <w:p>
      <w:pPr>
        <w:jc w:val="both"/>
      </w:pPr>
      <w:r>
        <w:t>gestiuni de mărfuri, iar contul de cheltuială și-ar pierde înțelesul. Formatorul e explicit:</w:t>
      </w:r>
    </w:p>
    <w:p>
      <w:pPr>
        <w:jc w:val="both"/>
      </w:pPr>
      <w:r>
        <w:rPr>
          <w:b/>
        </w:rPr>
        <w:t>niciodată 601 la 371</w:t>
      </w:r>
      <w:r>
        <w:t>, nici dacă programul îl propune prestabilit.</w:t>
      </w:r>
    </w:p>
    <w:p>
      <w:pPr>
        <w:pStyle w:val="Heading3"/>
      </w:pPr>
      <w:r>
        <w:t>12.5 Bonul de consum</w:t>
      </w:r>
    </w:p>
    <w:p>
      <w:pPr>
        <w:jc w:val="both"/>
      </w:pPr>
      <w:r>
        <w:t>Notița cerea clarificarea. Ordinea e:</w:t>
      </w:r>
    </w:p>
    <w:p>
      <w:pPr>
        <w:pStyle w:val="ListNumber"/>
      </w:pPr>
      <w:r>
        <w:rPr>
          <w:b/>
        </w:rPr>
        <w:t>Se creează gestiunea</w:t>
      </w:r>
      <w:r>
        <w:t xml:space="preserve"> — se definește ce ține, cine răspunde de ea;</w:t>
      </w:r>
    </w:p>
    <w:p>
      <w:pPr>
        <w:pStyle w:val="ListNumber"/>
      </w:pPr>
      <w:r>
        <w:rPr>
          <w:b/>
        </w:rPr>
        <w:t>Abia apoi se pune problema consumului</w:t>
      </w:r>
      <w:r>
        <w:t>, pe bază de bon de consum.</w:t>
      </w:r>
    </w:p>
    <w:p>
      <w:pPr>
        <w:jc w:val="both"/>
      </w:pPr>
      <w:r>
        <w:t>Orice ieșire din gestiune se face pe bon de consum. Fără el, scăderea din stoc nu are</w:t>
      </w:r>
    </w:p>
    <w:p>
      <w:pPr>
        <w:jc w:val="both"/>
      </w:pPr>
      <w:r>
        <w:t>document justificativ, iar diferența se constată la inventar fără explicație.</w:t>
      </w:r>
    </w:p>
    <w:p>
      <w:pPr>
        <w:jc w:val="both"/>
      </w:pPr>
      <w:r>
        <w:t>✅ Forma bonului de consum e reglementată de OMFP 2634/2015. „Fișa limită de consum”, pe</w:t>
      </w:r>
    </w:p>
    <w:p>
      <w:pPr>
        <w:jc w:val="both"/>
      </w:pPr>
      <w:r>
        <w:t>care o pusesem aici ca posibilă alternativă, a fost ELIMINATĂ prin același ordin — nu mai</w:t>
      </w:r>
    </w:p>
    <w:p>
      <w:pPr>
        <w:jc w:val="both"/>
      </w:pPr>
      <w:r>
        <w:t>e formular valid, așa că notița brută avea dreptate să nu o pomenească. La transferul între</w:t>
      </w:r>
    </w:p>
    <w:p>
      <w:pPr>
        <w:jc w:val="both"/>
      </w:pPr>
      <w:r>
        <w:t>gestiuni se folosește bonul de transfer (aviz intern), exact ca în notiță. Răspuns</w:t>
      </w:r>
    </w:p>
    <w:p>
      <w:pPr>
        <w:jc w:val="both"/>
      </w:pPr>
      <w:r>
        <w:t>verificat pe OMFP 2634/2015; vezi Anexa G.</w:t>
      </w: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Care sunt celelalte metode de calculație a costurilor acceptate de OMFP 1802/2014, și în ce situații se alege fiecare?</w:t>
      </w:r>
    </w:p>
    <w:p>
      <w:pPr>
        <w:jc w:val="both"/>
      </w:pPr>
      <w:r>
        <w:t>OMFP 1802/2014 (pct. 286 și urm.) recunoaște, pe lângă metoda pe comenzi implementată: metoda COSTULUI STANDARD (consumuri normale de materiale/manoperă, revizuite periodic); metoda PE FAZE (producție de masă — cost pe fiecare fază tehnologică, apoi pe produs); și metoda PE COMENZI (producție individuală sau serie mică — purtătorul de cost e comanda). Alegerea urmează specificul producției: pe comenzi la unicat/serie mică, pe faze la producție de masă continuă, cost standard când există norme stabile de consum.</w:t>
      </w:r>
    </w:p>
    <w:p>
      <w:pPr>
        <w:jc w:val="both"/>
      </w:pPr>
      <w:r>
        <w:rPr>
          <w:i/>
        </w:rPr>
        <w:t>Temei:</w:t>
      </w:r>
      <w:r>
        <w:t xml:space="preserve"> OMFP 1802/2014, pct. 286 (costul de producție și metodele de calculație).</w:t>
      </w:r>
    </w:p>
    <w:p>
      <w:pPr>
        <w:jc w:val="both"/>
      </w:pPr>
      <w:r>
        <w:rPr>
          <w:i/>
        </w:rPr>
        <w:t>Stocuri și producție · training 14.08.2026, întrebarea 1 · verificat 01.09.2026</w:t>
      </w:r>
    </w:p>
    <w:p>
      <w:pPr>
        <w:jc w:val="both"/>
      </w:pPr>
      <w:r>
        <w:rPr>
          <w:b/>
        </w:rPr>
        <w:t>✅ Derogarea UE pentru taxarea inversă la cereale și electronice avea termen 31.12.2026 — a fost prelungită?</w:t>
      </w:r>
    </w:p>
    <w:p>
      <w:pPr>
        <w:jc w:val="both"/>
      </w:pPr>
      <w:r>
        <w:t xml:space="preserve">Derogarea e prelungită până la </w:t>
      </w:r>
      <w:r>
        <w:rPr>
          <w:b/>
        </w:rPr>
        <w:t>31 decembrie 2026</w:t>
      </w:r>
      <w:r>
        <w:t xml:space="preserve"> și acoperă opt operațiuni: cereale și plante tehnice, certificate de emisii de gaze cu efect de seră, energie electrică și gaze naturale către comercianți persoane impozabile, certificate verzi, telefoane mobile, dispozitive cu circuite integrate, console de jocuri, tablete și laptopuri. Pentru ultimele patru categorii, taxarea inversă se aplică </w:t>
      </w:r>
      <w:r>
        <w:rPr>
          <w:b/>
        </w:rPr>
        <w:t>doar dacă valoarea fără TVA de pe factură e cel puțin 22.500 lei</w:t>
      </w:r>
      <w:r>
        <w:t xml:space="preserve">. La data verificării </w:t>
      </w:r>
      <w:r>
        <w:rPr>
          <w:b/>
        </w:rPr>
        <w:t>nu e publicată o prelungire dincolo de 31.12.2026</w:t>
      </w:r>
      <w:r>
        <w:t xml:space="preserve"> — deci expiră peste patru luni dacă nu intervine una.</w:t>
      </w:r>
    </w:p>
    <w:p>
      <w:pPr>
        <w:jc w:val="both"/>
      </w:pPr>
      <w:r>
        <w:rPr>
          <w:i/>
        </w:rPr>
        <w:t>Temei:</w:t>
      </w:r>
      <w:r>
        <w:t xml:space="preserve"> Cod fiscal art. 331; decizie a Consiliului UE de prelungire până la 31.12.2026. Reverificat la 21.08.2026.</w:t>
      </w:r>
    </w:p>
    <w:p>
      <w:pPr>
        <w:jc w:val="both"/>
      </w:pPr>
      <w:r>
        <w:rPr>
          <w:i/>
        </w:rPr>
        <w:t>TVA — import, vamă, taxare inversă · training 14.08.2026, întrebarea 7 · verificat 21.08.2026</w:t>
      </w:r>
    </w:p>
    <w:p>
      <w:pPr>
        <w:jc w:val="both"/>
      </w:pPr>
      <w:r>
        <w:rPr>
          <w:b/>
        </w:rPr>
        <w:t>✅ La lipsa la inventar, practica implicită a cabinetului este colectarea de TVA sau ajustarea dreptului de deducere? Ce set de documente se cere clientului?</w:t>
      </w:r>
    </w:p>
    <w:p>
      <w:pPr>
        <w:jc w:val="both"/>
      </w:pPr>
      <w:r>
        <w:t>Regula IMPLICITĂ la lipsa la inventar e AJUSTAREA TVA deduse (art. 304 alin. (1) lit. c) Cod fiscal), nu colectarea. Excepție — fără ajustare — pentru bunuri distruse, pierdute sau furate, DOVEDITE corespunzător (proces-verbal, dosar). La lipsuri IMPUTABILE, suma imputată nu e contravaloarea unei operațiuni supuse TVA, dar ajustarea deducerii rămâne datorată. Colectarea (nu ajustarea) apare doar când lipsa se tratează ca livrare către sine. Documente cerute clientului: proces-verbal de inventariere, decizie de imputare sau proces-verbal de scoatere din gestiune, și dovada cauzei pentru scutirea de ajustare.</w:t>
      </w:r>
    </w:p>
    <w:p>
      <w:pPr>
        <w:jc w:val="both"/>
      </w:pPr>
      <w:r>
        <w:rPr>
          <w:i/>
        </w:rPr>
        <w:t>Temei:</w:t>
      </w:r>
      <w:r>
        <w:t xml:space="preserve"> Cod fiscal art. 304 alin. (1) lit. c) și alin. (2) (bunuri de capital: art. 305).</w:t>
      </w:r>
    </w:p>
    <w:p>
      <w:pPr>
        <w:jc w:val="both"/>
      </w:pPr>
      <w:r>
        <w:rPr>
          <w:i/>
        </w:rPr>
        <w:t>TVA — ajustări fără document · training 14.08.2026, întrebarea 2 · verificat 01.09.2026</w:t>
      </w:r>
    </w:p>
    <w:p>
      <w:pPr>
        <w:jc w:val="both"/>
      </w:pPr>
      <w:r>
        <w:rPr>
          <w:b/>
        </w:rPr>
        <w:t>✅ Care este termenul curent de depunere a declarației la Fondul pentru Mediu — lunar sau trimestrial?</w:t>
      </w:r>
    </w:p>
    <w:p>
      <w:pPr>
        <w:jc w:val="both"/>
      </w:pPr>
      <w:r>
        <w:rPr>
          <w:b/>
        </w:rPr>
        <w:t>Lunar sau trimestrial</w:t>
      </w:r>
      <w:r>
        <w:t xml:space="preserve">, după tipul de obligație, cu termen </w:t>
      </w:r>
      <w:r>
        <w:rPr>
          <w:b/>
        </w:rPr>
        <w:t>25 a lunii următoare</w:t>
      </w:r>
      <w:r>
        <w:t xml:space="preserve"> perioadei de raportare. Depunerea se face exclusiv electronic, prin platforma AFM-Online, cu semnătură electronică calificată — de la 1 iulie 2022 nu se mai acceptă depunerea pe hârtie.</w:t>
      </w:r>
    </w:p>
    <w:p>
      <w:pPr>
        <w:jc w:val="both"/>
      </w:pPr>
      <w:r>
        <w:rPr>
          <w:i/>
        </w:rPr>
        <w:t>Temei:</w:t>
      </w:r>
      <w:r>
        <w:t xml:space="preserve"> Procedura de declarare la Fondul pentru mediu; depunere electronică obligatorie din 1.07.2022.</w:t>
      </w:r>
    </w:p>
    <w:p>
      <w:pPr>
        <w:jc w:val="both"/>
      </w:pPr>
      <w:r>
        <w:rPr>
          <w:i/>
        </w:rPr>
        <w:t>Obligații de mediu · training 14.08.2026, întrebarea 5 · verificat 21.08.2026</w:t>
      </w:r>
    </w:p>
    <w:p>
      <w:pPr>
        <w:jc w:val="both"/>
      </w:pPr>
      <w:r>
        <w:rPr>
          <w:b/>
        </w:rPr>
        <w:t>✅ Care e forma obligatorie a bonului de consum, și în ce cazuri poate fi înlocuit cu alt document?</w:t>
      </w:r>
    </w:p>
    <w:p>
      <w:pPr>
        <w:jc w:val="both"/>
      </w:pPr>
      <w:r>
        <w:t>Bonul de consum e documentul reglementat de OMFP 2634/2015, obligatoriu la eliberarea din gestiune pentru consum. ⚠️ „Fișa limită de consum” pe care o propuneam ca alternativă a fost ELIMINATĂ din formularele reglementate prin OMFP 2634/2015 — nu mai e o opțiune validă. La transferul între gestiuni se folosește bonul de transfer (aviz intern). Deci: bon de consum la consum, bon de transfer la mutarea între gestiuni; fișa limită de consum nu mai există ca formular obligatoriu.</w:t>
      </w:r>
    </w:p>
    <w:p>
      <w:pPr>
        <w:jc w:val="both"/>
      </w:pPr>
      <w:r>
        <w:rPr>
          <w:i/>
        </w:rPr>
        <w:t>Temei:</w:t>
      </w:r>
      <w:r>
        <w:t xml:space="preserve"> OMFP 2634/2015 privind documentele financiar-contabile (bonul de consum; eliminarea fișei limită de consum).</w:t>
      </w:r>
    </w:p>
    <w:p>
      <w:pPr>
        <w:jc w:val="both"/>
      </w:pPr>
      <w:r>
        <w:rPr>
          <w:i/>
        </w:rPr>
        <w:t>Gestiuni, bonuri de consum și compensări · training 28.08.2026, punctul 3 · verificat 01.09.2026</w:t>
      </w:r>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