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12.08.2026 · adâncit cu 19.08.2026 și 26.08.2026 — 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11.6 Vânzarea unui mijloc fix</w:t>
      </w:r>
    </w:p>
    <w:p>
      <w:pPr>
        <w:jc w:val="both"/>
      </w:pPr>
      <w:r>
        <w:t>Preț de vânzare 60.000 lei, TVA 21%.</w:t>
      </w:r>
    </w:p>
    <w:p>
      <w:pPr>
        <w:jc w:val="both"/>
      </w:pPr>
      <w:r>
        <w:rPr>
          <w:b/>
        </w:rPr>
        <w:t>Facturarea:</w:t>
      </w:r>
    </w:p>
    <w:p>
      <w:pPr>
        <w:ind w:left="280"/>
      </w:pPr>
      <w:r>
        <w:rPr>
          <w:rFonts w:ascii="Consolas" w:hAnsi="Consolas"/>
          <w:sz w:val="18"/>
        </w:rPr>
        <w:t>4111 = 7583   ·  60.000     (venituri din vânzarea activelor)</w:t>
        <w:br/>
        <w:t>4111 = 4427   ·  12.600</w:t>
      </w:r>
    </w:p>
    <w:p>
      <w:pPr>
        <w:jc w:val="both"/>
      </w:pPr>
      <w:r>
        <w:t xml:space="preserve">Raționamentul de control: conturile de clasa 6 stau pe </w:t>
      </w:r>
      <w:r>
        <w:rPr>
          <w:b/>
        </w:rPr>
        <w:t>debit</w:t>
      </w:r>
      <w:r>
        <w:t xml:space="preserve">, cele de clasa 7 stau pe </w:t>
      </w:r>
      <w:r>
        <w:rPr>
          <w:b/>
        </w:rPr>
        <w:t>credit</w:t>
      </w:r>
      <w:r>
        <w:t xml:space="preserve">. Deci contul de venit (7583) merge pe credit, iar clientul (4111) pe debit. TVA-ul colectat, fiind un cont de pasiv care crește, merge tot pe </w:t>
      </w:r>
      <w:r>
        <w:rPr>
          <w:b/>
        </w:rPr>
        <w:t>credit</w:t>
      </w:r>
      <w:r>
        <w:t>.</w:t>
      </w:r>
    </w:p>
    <w:p>
      <w:pPr>
        <w:jc w:val="both"/>
      </w:pPr>
      <w:r>
        <w:rPr>
          <w:b/>
        </w:rPr>
        <w:t>Scoaterea din evidență a mijlocului fix</w:t>
      </w:r>
      <w:r>
        <w:t xml:space="preserve"> — pasul pe care nu trebuie să-l uiți. Presupunem valoare de intrare 50.000, amortizare cumulată 38.000:</w:t>
      </w:r>
    </w:p>
    <w:p>
      <w:pPr>
        <w:ind w:left="280"/>
      </w:pPr>
      <w:r>
        <w:rPr>
          <w:rFonts w:ascii="Consolas" w:hAnsi="Consolas"/>
          <w:sz w:val="18"/>
        </w:rPr>
        <w:t>2813 = 213    ·  38.000     (amortizarea cumulată)</w:t>
        <w:br/>
        <w:t>6583 = 213    ·  12.000     (valoarea rămasă neamortizată)</w:t>
      </w:r>
    </w:p>
    <w:p>
      <w:pPr>
        <w:jc w:val="both"/>
      </w:pPr>
      <w:r>
        <w:rPr>
          <w:b/>
        </w:rPr>
        <w:t>Închiderea TVA colectată</w:t>
      </w:r>
      <w:r>
        <w:t xml:space="preserve"> (dacă nu există deductibil în luna respectivă):</w:t>
      </w:r>
    </w:p>
    <w:p>
      <w:pPr>
        <w:ind w:left="280"/>
      </w:pPr>
      <w:r>
        <w:rPr>
          <w:rFonts w:ascii="Consolas" w:hAnsi="Consolas"/>
          <w:sz w:val="18"/>
        </w:rPr>
        <w:t>4427 = 4423   ·  12.600</w:t>
      </w: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pStyle w:val="Heading2"/>
      </w:pPr>
      <w:r>
        <w:t>19. Subvenții pentru investiții și fonduri europene</w:t>
      </w:r>
    </w:p>
    <w:p>
      <w:pPr>
        <w:pStyle w:val="Heading3"/>
      </w:pPr>
      <w:r>
        <w:t>19.1 Corespondența 445 ↔ 475</w:t>
      </w:r>
    </w:p>
    <w:p>
      <w:pPr>
        <w:jc w:val="both"/>
      </w:pPr>
      <w:r>
        <w:t xml:space="preserve">Grupa 445 ține </w:t>
      </w:r>
      <w:r>
        <w:rPr>
          <w:b/>
        </w:rPr>
        <w:t>creanța</w:t>
      </w:r>
      <w:r>
        <w:t xml:space="preserve"> față de finanțator; grupa 475 ține </w:t>
      </w:r>
      <w:r>
        <w:rPr>
          <w:b/>
        </w:rPr>
        <w:t>venitul amânat</w:t>
      </w:r>
      <w:r>
        <w:t xml:space="preserve"> care</w:t>
      </w:r>
    </w:p>
    <w:p>
      <w:pPr>
        <w:jc w:val="both"/>
      </w:pPr>
      <w:r>
        <w:t>urmează să fie recunoscut pe măsura amortizării. Se folosesc în pereche: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Creanță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Venit amânat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finanțează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Subvenții guvernamentale pentru investiții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Împrumuturi nerambursabile cu caracter de subvenții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4753 / 4754 / 4758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sume primite cu caracter de subvenții</w:t>
            </w:r>
          </w:p>
        </w:tc>
      </w:tr>
    </w:tbl>
    <w:p/>
    <w:p>
      <w:pPr>
        <w:jc w:val="both"/>
      </w:pPr>
      <w:r>
        <w:t>➕ Corespondența nu e mnemotehnică: fiecare pereche păstrează separat *de la cine ai de</w:t>
      </w:r>
    </w:p>
    <w:p>
      <w:pPr>
        <w:jc w:val="both"/>
      </w:pPr>
      <w:r>
        <w:t>primit</w:t>
      </w:r>
      <w:r>
        <w:rPr>
          <w:i/>
        </w:rPr>
        <w:t xml:space="preserve"> și </w:t>
      </w:r>
      <w:r>
        <w:t>cât din venit nu ți se cuvine încă*. Confundate, subvenția ajunge venit în</w:t>
      </w:r>
    </w:p>
    <w:p>
      <w:pPr>
        <w:jc w:val="both"/>
      </w:pPr>
      <w:r>
        <w:t>luna încasării, ceea ce umflă rezultatul cu bani care acoperă o cheltuială viitoare.</w:t>
      </w:r>
    </w:p>
    <w:p>
      <w:pPr>
        <w:pStyle w:val="Heading3"/>
      </w:pPr>
      <w:r>
        <w:t>19.2 Când se înregistrează un proiect european</w:t>
      </w:r>
    </w:p>
    <w:p>
      <w:pPr>
        <w:jc w:val="both"/>
      </w:pPr>
      <w:r>
        <w:t>Un proiect pe fonduri europene se înregistrează în contabilitate **când primesc</w:t>
      </w:r>
    </w:p>
    <w:p>
      <w:pPr>
        <w:jc w:val="both"/>
      </w:pPr>
      <w:r>
        <w:t>aprobarea de la autoritate** — nu când primesc banii, nu la semnarea contractului de</w:t>
      </w:r>
    </w:p>
    <w:p>
      <w:pPr>
        <w:jc w:val="both"/>
      </w:pPr>
      <w:r>
        <w:t>consultanță.</w:t>
      </w:r>
    </w:p>
    <w:p>
      <w:pPr>
        <w:jc w:val="both"/>
      </w:pPr>
      <w:r>
        <w:t>⚠️ Momentul contează: creanța și venitul amânat se nasc la aprobare. Înregistrat la</w:t>
      </w:r>
    </w:p>
    <w:p>
      <w:pPr>
        <w:jc w:val="both"/>
      </w:pPr>
      <w:r>
        <w:t>încasare, tot mecanismul de reluare la venit pornește cu întârziere, iar corelația dintre</w:t>
      </w:r>
    </w:p>
    <w:p>
      <w:pPr>
        <w:jc w:val="both"/>
      </w:pPr>
      <w:r>
        <w:t>amortizare și venit se rupe pentru lunile dintre aprobare și încasare.</w:t>
      </w:r>
    </w:p>
    <w:p>
      <w:pPr>
        <w:pStyle w:val="Heading3"/>
      </w:pPr>
      <w:r>
        <w:t>19.3 Aportul propriu și TVA-ul nedecontat</w:t>
      </w:r>
    </w:p>
    <w:p>
      <w:pPr>
        <w:jc w:val="both"/>
      </w:pPr>
      <w:r>
        <w:t xml:space="preserve">Societatea vine cu un </w:t>
      </w:r>
      <w:r>
        <w:rPr>
          <w:b/>
        </w:rPr>
        <w:t>aport de 10 / 20 / 30 %</w:t>
      </w:r>
      <w:r>
        <w:t>, în funcție de proiect și de ramura în</w:t>
      </w:r>
    </w:p>
    <w:p>
      <w:pPr>
        <w:jc w:val="both"/>
      </w:pPr>
      <w:r>
        <w:t>care se încadrează. Restul e subvenție.</w:t>
      </w:r>
    </w:p>
    <w:p>
      <w:pPr>
        <w:jc w:val="both"/>
      </w:pPr>
      <w:r>
        <w:t xml:space="preserve">Valorile din proiect sunt </w:t>
      </w:r>
      <w:r>
        <w:rPr>
          <w:b/>
        </w:rPr>
        <w:t>fără TVA</w:t>
      </w:r>
      <w:r>
        <w:t>: TVA-ul nu se decontează și nu face parte dintr-un</w:t>
      </w:r>
    </w:p>
    <w:p>
      <w:pPr>
        <w:jc w:val="both"/>
      </w:pPr>
      <w:r>
        <w:t>proiect european.</w:t>
      </w:r>
    </w:p>
    <w:p>
      <w:pPr>
        <w:jc w:val="both"/>
      </w:pPr>
      <w:r>
        <w:t xml:space="preserve">Exemplu: proiect de </w:t>
      </w:r>
      <w:r>
        <w:rPr>
          <w:b/>
        </w:rPr>
        <w:t>100.000 lei</w:t>
      </w:r>
      <w:r>
        <w:t xml:space="preserve">, subvenție </w:t>
      </w:r>
      <w:r>
        <w:rPr>
          <w:b/>
        </w:rPr>
        <w:t>80 %</w:t>
      </w:r>
      <w:r>
        <w:t>.</w:t>
      </w:r>
    </w:p>
    <w:p>
      <w:pPr>
        <w:ind w:left="280"/>
      </w:pPr>
      <w:r>
        <w:rPr>
          <w:rFonts w:ascii="Consolas" w:hAnsi="Consolas"/>
          <w:sz w:val="18"/>
        </w:rPr>
        <w:t>4452 = 4758        80.000     creanța și venitul amânat, la aprobare</w:t>
        <w:br/>
        <w:t>5121 = 4452        80.000     încasarea fondurilor</w:t>
      </w:r>
    </w:p>
    <w:p>
      <w:pPr>
        <w:jc w:val="both"/>
      </w:pPr>
      <w:r>
        <w:t>➕ Între cele două înregistrări, creanța poate sta „latentă" oricât: nimic nu se reia la</w:t>
      </w:r>
    </w:p>
    <w:p>
      <w:pPr>
        <w:jc w:val="both"/>
      </w:pPr>
      <w:r>
        <w:t>venit până nu apare prima cheltuială cu activul finanțat.</w:t>
      </w:r>
    </w:p>
    <w:p>
      <w:pPr>
        <w:pStyle w:val="Heading3"/>
      </w:pPr>
      <w:r>
        <w:t>19.4 Amortizarea și reluarea la venit merg împreună</w:t>
      </w:r>
    </w:p>
    <w:p>
      <w:pPr>
        <w:jc w:val="both"/>
      </w:pPr>
      <w:r>
        <w:t>Aici e tot rostul mecanismului. Clădirea din proiect se amortizează pe 40 de ani:</w:t>
      </w:r>
    </w:p>
    <w:p>
      <w:pPr>
        <w:ind w:left="280"/>
      </w:pPr>
      <w:r>
        <w:rPr>
          <w:rFonts w:ascii="Consolas" w:hAnsi="Consolas"/>
          <w:sz w:val="18"/>
        </w:rPr>
        <w:t>100.000 ÷ 40 ani ÷ 12 luni = 208,33 lei amortizare lunară</w:t>
      </w:r>
    </w:p>
    <w:p>
      <w:pPr>
        <w:jc w:val="both"/>
      </w:pPr>
      <w:r>
        <w:t xml:space="preserve">În aceeași lună, subvenția se reia la venit </w:t>
      </w:r>
      <w:r>
        <w:rPr>
          <w:b/>
        </w:rPr>
        <w:t>în cota de finanțare</w:t>
      </w:r>
      <w:r>
        <w:t>. Reluarea se</w:t>
      </w:r>
    </w:p>
    <w:p>
      <w:pPr>
        <w:jc w:val="both"/>
      </w:pPr>
      <w:r>
        <w:t>calculează pe valoarea SUBVENȚIONATĂ, nu pe amortizarea deja rotunjită:</w:t>
      </w:r>
    </w:p>
    <w:p>
      <w:pPr>
        <w:ind w:left="280"/>
      </w:pPr>
      <w:r>
        <w:rPr>
          <w:rFonts w:ascii="Consolas" w:hAnsi="Consolas"/>
          <w:sz w:val="18"/>
        </w:rPr>
        <w:t>80.000 ÷ 480 luni = 166,67 lei</w:t>
      </w:r>
    </w:p>
    <w:p>
      <w:pPr>
        <w:jc w:val="both"/>
      </w:pPr>
      <w:r>
        <w:t>Nota lunară, cu ambele jumătăți la vedere:</w:t>
      </w:r>
    </w:p>
    <w:p>
      <w:pPr>
        <w:ind w:left="280"/>
      </w:pPr>
      <w:r>
        <w:rPr>
          <w:rFonts w:ascii="Consolas" w:hAnsi="Consolas"/>
          <w:sz w:val="18"/>
        </w:rPr>
        <w:t>6811 = 2812       208,33     cheltuiala cu amortizarea, pe toată valoarea</w:t>
        <w:br/>
        <w:t>4758 = 7584       166,67     reluarea subvenției, doar pe cota finanțată</w:t>
      </w:r>
    </w:p>
    <w:p>
      <w:pPr>
        <w:jc w:val="both"/>
      </w:pPr>
      <w:r>
        <w:t xml:space="preserve">Efectul net contabil e </w:t>
      </w:r>
      <w:r>
        <w:rPr>
          <w:b/>
        </w:rPr>
        <w:t>41,66 lei pe lună</w:t>
      </w:r>
      <w:r>
        <w:t xml:space="preserve"> (208,33 − 166,67), iar cota teoretică a</w:t>
      </w:r>
    </w:p>
    <w:p>
      <w:pPr>
        <w:jc w:val="both"/>
      </w:pPr>
      <w:r>
        <w:t xml:space="preserve">aportului propriu e </w:t>
      </w:r>
      <w:r>
        <w:rPr>
          <w:b/>
        </w:rPr>
        <w:t>41,67</w:t>
      </w:r>
      <w:r>
        <w:t xml:space="preserve"> (20.000 ÷ 480). Banul de diferență e reziduu de rotunjire:</w:t>
      </w:r>
    </w:p>
    <w:p>
      <w:pPr>
        <w:jc w:val="both"/>
      </w:pPr>
      <w:r>
        <w:t>cele trei mărimi se rotunjesc fiecare independent, iar la ultima lună se regularizează.</w:t>
      </w:r>
    </w:p>
    <w:p>
      <w:pPr>
        <w:jc w:val="both"/>
      </w:pPr>
      <w:r>
        <w:t>Timp de 40 de ani: cheltuială, venit, cheltuială, venit.</w:t>
      </w:r>
    </w:p>
    <w:p>
      <w:pPr>
        <w:jc w:val="both"/>
      </w:pPr>
      <w:r>
        <w:t xml:space="preserve">⚠️ Notița scria reluarea ca </w:t>
      </w:r>
      <w:r>
        <w:rPr>
          <w:b/>
        </w:rPr>
        <w:t>166,40</w:t>
      </w:r>
      <w:r>
        <w:t>, calculată pe amortizarea rotunjită (208 × 80 %).</w:t>
      </w:r>
    </w:p>
    <w:p>
      <w:pPr>
        <w:jc w:val="both"/>
      </w:pPr>
      <w:r>
        <w:t xml:space="preserve">Cifra corectă e </w:t>
      </w:r>
      <w:r>
        <w:rPr>
          <w:b/>
        </w:rPr>
        <w:t>166,67</w:t>
      </w:r>
      <w:r>
        <w:t>. Atenție și la varianta intermediară: 208,33 × 80 % dă 166,66,</w:t>
      </w:r>
    </w:p>
    <w:p>
      <w:pPr>
        <w:jc w:val="both"/>
      </w:pPr>
      <w:r>
        <w:t>tot greșit, cu un ban. Ordinea corectă e împărțirea valorii subvenționate la durată, nu</w:t>
      </w:r>
    </w:p>
    <w:p>
      <w:pPr>
        <w:jc w:val="both"/>
      </w:pPr>
      <w:r>
        <w:t>aplicarea cotei peste o amortizare deja rotunjită. Diferența e mică lunar, dar</w:t>
      </w:r>
    </w:p>
    <w:p>
      <w:pPr>
        <w:jc w:val="both"/>
      </w:pPr>
      <w:r>
        <w:t>sistematică: pe 480 de luni se acumulează.</w:t>
      </w:r>
    </w:p>
    <w:p>
      <w:pPr>
        <w:jc w:val="both"/>
      </w:pPr>
      <w:r>
        <w:t>➕ Concluzia formatorului, formulată ca regulă de verificare: **dacă am o cheltuială din</w:t>
      </w:r>
    </w:p>
    <w:p>
      <w:pPr>
        <w:jc w:val="both"/>
      </w:pPr>
      <w:r>
        <w:t>proiect, trebuie să am și un venit în aceeași lună.** O lună cu amortizare și fără</w:t>
      </w:r>
    </w:p>
    <w:p>
      <w:pPr>
        <w:jc w:val="both"/>
      </w:pPr>
      <w:r>
        <w:t>reluare e o eroare, nu o opțiune.</w:t>
      </w:r>
    </w:p>
    <w:p>
      <w:pPr>
        <w:pStyle w:val="Heading3"/>
      </w:pPr>
      <w:r>
        <w:t>19.5 Plusuri la inventar la imobilizări</w:t>
      </w:r>
    </w:p>
    <w:p>
      <w:pPr>
        <w:jc w:val="both"/>
      </w:pPr>
      <w:r>
        <w:t>Un plus constatat la inventar la imobilizări se înregistrează tot prin grupa venitului</w:t>
      </w:r>
    </w:p>
    <w:p>
      <w:pPr>
        <w:jc w:val="both"/>
      </w:pPr>
      <w:r>
        <w:t>amânat, nu direct la venit:</w:t>
      </w:r>
    </w:p>
    <w:p>
      <w:pPr>
        <w:ind w:left="280"/>
      </w:pPr>
      <w:r>
        <w:rPr>
          <w:rFonts w:ascii="Consolas" w:hAnsi="Consolas"/>
          <w:sz w:val="18"/>
        </w:rPr>
        <w:t>2131 = 4754        la valoarea justă din raportul de evaluare</w:t>
      </w:r>
    </w:p>
    <w:p>
      <w:pPr>
        <w:jc w:val="both"/>
      </w:pPr>
      <w:r>
        <w:t xml:space="preserve">Motivul e același: o imobilizare are drept cheltuială </w:t>
      </w:r>
      <w:r>
        <w:rPr>
          <w:b/>
        </w:rPr>
        <w:t>amortizarea</w:t>
      </w:r>
      <w:r>
        <w:t>, iar venitul</w:t>
      </w:r>
    </w:p>
    <w:p>
      <w:pPr>
        <w:jc w:val="both"/>
      </w:pPr>
      <w:r>
        <w:t>trebuie să apară în același ritm. Recunoașterea imediată la venit ar concentra într-o</w:t>
      </w:r>
    </w:p>
    <w:p>
      <w:pPr>
        <w:jc w:val="both"/>
      </w:pPr>
      <w:r>
        <w:t>lună un venit care acoperă o cheltuială întinsă pe toată durata de viață.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4458</w:t>
      </w:r>
      <w:r>
        <w:t xml:space="preserve">. Contul corect e cel de </w:t>
      </w:r>
      <w:r>
        <w:rPr>
          <w:b/>
        </w:rPr>
        <w:t>imobilizare</w:t>
      </w:r>
      <w:r>
        <w:t xml:space="preserve"> (2131, 212,</w:t>
      </w:r>
    </w:p>
    <w:p>
      <w:pPr>
        <w:jc w:val="both"/>
      </w:pPr>
      <w:r>
        <w:t>214 — după natura bunului găsit). 4458 e o CREANȚĂ: „alte sume primite cu caracter de</w:t>
      </w:r>
    </w:p>
    <w:p>
      <w:pPr>
        <w:jc w:val="both"/>
      </w:pPr>
      <w:r>
        <w:t>subvenții”, adică bani de încasat de la cineva. La un plus de inventar nu ai de primit</w:t>
      </w:r>
    </w:p>
    <w:p>
      <w:pPr>
        <w:jc w:val="both"/>
      </w:pPr>
      <w:r>
        <w:t>nimic de la nimeni — ai găsit bunul. Înregistrat pe 4458, în balanță ar apărea o sumă de</w:t>
      </w:r>
    </w:p>
    <w:p>
      <w:pPr>
        <w:jc w:val="both"/>
      </w:pPr>
      <w:r>
        <w:t>încasat care nu există și pe care nimeni n-ar putea-o stinge vreodată.</w:t>
      </w:r>
    </w:p>
    <w:p>
      <w:pPr>
        <w:jc w:val="both"/>
      </w:pPr>
      <w:r>
        <w:t xml:space="preserve">❓ Notița indică </w:t>
      </w:r>
      <w:r>
        <w:rPr>
          <w:rFonts w:ascii="Consolas" w:hAnsi="Consolas"/>
          <w:color w:val="1F4E79"/>
          <w:sz w:val="19"/>
        </w:rPr>
        <w:t>7584 / 7588</w:t>
      </w:r>
      <w:r>
        <w:t xml:space="preserve"> fără să tranșeze care se folosește la plusul de inventar.</w:t>
      </w:r>
    </w:p>
    <w:p>
      <w:pPr>
        <w:jc w:val="both"/>
      </w:pPr>
      <w:r>
        <w:t>Cele două nu sunt echivalente: 7584 e „venituri din subvenții pentru investiții", 7588 e</w:t>
      </w:r>
    </w:p>
    <w:p>
      <w:pPr>
        <w:jc w:val="both"/>
      </w:pPr>
      <w:r>
        <w:t xml:space="preserve">„alte venituri din exploatare". Presupun </w:t>
      </w:r>
      <w:r>
        <w:rPr>
          <w:b/>
        </w:rPr>
        <w:t>7584</w:t>
      </w:r>
      <w:r>
        <w:t>, prin simetrie cu 475x, dar rămâne de</w:t>
      </w:r>
    </w:p>
    <w:p>
      <w:pPr>
        <w:jc w:val="both"/>
      </w:pPr>
      <w:r>
        <w:t>confirmat.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Recomandați alinierea pragului contabil de recunoaștere la cel fiscal (5.000 lei), sau menținerea unui prag intern mai mic pentru control de gestiune?</w:t>
      </w:r>
    </w:p>
    <w:p>
      <w:pPr>
        <w:jc w:val="both"/>
      </w:pPr>
      <w:r>
        <w:t>De la 1 ianuarie 2026 pragul FISCAL al mijloacelor fixe a crescut de la 2.500 la 5.000 lei (OUG 8/2026, art. 28 alin. (2) Cod fiscal). Contabil, OMFP 1802/2014 NU condiționează recunoașterea unei imobilizări de o valoare minimă — doar de definiție (utilizare peste 1 an, în scop de producție/prestare/administrativ). Alinierea pragului contabil la cel fiscal (5.000) e opțională, dar evită diferențele temporare între amortizarea contabilă și cea fiscală. Un prag contabil intern mai mic, pentru control de gestiune, e legitim — dar produce diferențe temporare de urmărit.</w:t>
      </w:r>
    </w:p>
    <w:p>
      <w:pPr>
        <w:jc w:val="both"/>
      </w:pPr>
      <w:r>
        <w:rPr>
          <w:i/>
        </w:rPr>
        <w:t>Temei:</w:t>
      </w:r>
      <w:r>
        <w:t xml:space="preserve"> OUG 8/2026 (modifică art. 28 alin. (2) Cod fiscal), de la 01.01.2026; OMFP 1802/2014 — fără prag valoric contabil.</w:t>
      </w:r>
    </w:p>
    <w:p>
      <w:pPr>
        <w:jc w:val="both"/>
      </w:pPr>
      <w:r>
        <w:rPr>
          <w:i/>
        </w:rPr>
        <w:t>Imobilizări — prag și amortizare · training 12.08.2026, întrebarea 1 · verificat 01.09.2026</w:t>
      </w:r>
    </w:p>
    <w:p>
      <w:pPr>
        <w:jc w:val="both"/>
      </w:pPr>
      <w:r>
        <w:rPr>
          <w:b/>
        </w:rPr>
        <w:t>✅ Excepția de la cumulul cu profitul reinvestit (art. 22 alin. 9) acoperă doar amortizarea accelerată, sau și pe cea superaccelerată de 65%?</w:t>
      </w:r>
    </w:p>
    <w:p>
      <w:pPr>
        <w:jc w:val="both"/>
      </w:pPr>
      <w:r>
        <w:t xml:space="preserve">Regula: cine aplică scutirea de impozit a profitului reinvestit </w:t>
      </w:r>
      <w:r>
        <w:rPr>
          <w:b/>
        </w:rPr>
        <w:t>nu poate opta pentru amortizarea accelerată</w:t>
      </w:r>
      <w:r>
        <w:t xml:space="preserve"> pentru activele respective — se amortizează liniar sau degresiv. Există însă o </w:t>
      </w:r>
      <w:r>
        <w:rPr>
          <w:b/>
        </w:rPr>
        <w:t>excepție pentru 2026</w:t>
      </w:r>
      <w:r>
        <w:t xml:space="preserve">: dacă scutirea se aplică pentru subgrupa 2.1 (echipamente tehnologice — mașini, utilaje și instalații de lucru) și pentru calculatoare și echipamente periferice, contribuabilul </w:t>
      </w:r>
      <w:r>
        <w:rPr>
          <w:b/>
        </w:rPr>
        <w:t>poate</w:t>
      </w:r>
      <w:r>
        <w:t xml:space="preserve"> opta pentru amortizare accelerată.</w:t>
      </w:r>
    </w:p>
    <w:p>
      <w:pPr>
        <w:jc w:val="both"/>
      </w:pPr>
      <w:r>
        <w:rPr>
          <w:i/>
        </w:rPr>
        <w:t>Temei:</w:t>
      </w:r>
      <w:r>
        <w:t xml:space="preserve"> Cod fiscal art. 22 alin. (9), cu trimitere la art. 28 alin. (5) lit. b) pentru excepția din 2026.</w:t>
      </w:r>
    </w:p>
    <w:p>
      <w:pPr>
        <w:jc w:val="both"/>
      </w:pPr>
      <w:r>
        <w:rPr>
          <w:i/>
        </w:rPr>
        <w:t>Imobilizări — prag și amortizare · training 12.08.2026, întrebarea 2 · verificat 21.08.2026</w:t>
      </w:r>
    </w:p>
    <w:p>
      <w:pPr>
        <w:jc w:val="both"/>
      </w:pPr>
      <w:r>
        <w:rPr>
          <w:b/>
        </w:rPr>
        <w:t>✅ Care este baza legală exactă pentru a trata ca nedeductibilă diferența dintre valoarea rămasă și prețul de vânzare, față de art. 28 alin. (17)?</w:t>
      </w:r>
    </w:p>
    <w:p>
      <w:pPr>
        <w:jc w:val="both"/>
      </w:pPr>
      <w:r>
        <w:rPr>
          <w:b/>
        </w:rPr>
        <w:t>Nu există un asemenea temei — presupunerea din notițe e inversă.</w:t>
      </w:r>
      <w:r>
        <w:t xml:space="preserve"> La vânzarea unui mijloc fix la prețul pieței, valoarea rămasă neamortizată e cheltuială </w:t>
      </w:r>
      <w:r>
        <w:rPr>
          <w:b/>
        </w:rPr>
        <w:t>deductibilă</w:t>
      </w:r>
      <w:r>
        <w:t xml:space="preserve">, chiar dacă prețul e sub ea. Limitarea reală e alta și privește doar </w:t>
      </w:r>
      <w:r>
        <w:rPr>
          <w:b/>
        </w:rPr>
        <w:t>autoturismele din categoria M1</w:t>
      </w:r>
      <w:r>
        <w:t xml:space="preserve">: acolo valoarea rămasă e deductibilă în limita a </w:t>
      </w:r>
      <w:r>
        <w:rPr>
          <w:b/>
        </w:rPr>
        <w:t>1.500 lei × numărul de luni rămase</w:t>
      </w:r>
      <w:r>
        <w:t xml:space="preserve"> de amortizat din durata normală de funcționare.</w:t>
      </w:r>
    </w:p>
    <w:p>
      <w:pPr>
        <w:jc w:val="both"/>
      </w:pPr>
      <w:r>
        <w:rPr>
          <w:i/>
        </w:rPr>
        <w:t>Temei:</w:t>
      </w:r>
      <w:r>
        <w:t xml:space="preserve"> Cod fiscal art. 28 alin. (17) și normele metodologice aferente (limitarea M1).</w:t>
      </w:r>
    </w:p>
    <w:p>
      <w:pPr>
        <w:jc w:val="both"/>
      </w:pPr>
      <w:r>
        <w:rPr>
          <w:i/>
        </w:rPr>
        <w:t>Imobilizări — ieșiri din gestiune · training 12.08.2026, întrebarea 3 · verificat 21.08.2026</w:t>
      </w:r>
    </w:p>
    <w:p>
      <w:pPr>
        <w:jc w:val="both"/>
      </w:pPr>
      <w:r>
        <w:rPr>
          <w:b/>
        </w:rPr>
        <w:t>✅ La o casare din care nu rezultă nici deșeuri, nici piese reutilizabile, cum se justifică deductibilitatea valorii rămase neamortizate?</w:t>
      </w:r>
    </w:p>
    <w:p>
      <w:pPr>
        <w:jc w:val="both"/>
      </w:pPr>
      <w:r>
        <w:rPr>
          <w:b/>
        </w:rPr>
        <w:t>Nu se cere nici deșeu, nici piesă reutilizabilă.</w:t>
      </w:r>
      <w:r>
        <w:t xml:space="preserve"> Cheltuielile înregistrate ca urmare a casării unui mijloc fix cu valoare fiscală incomplet amortizată sunt, prin lege, cheltuieli efectuate în scopul desfășurării activității economice — deci deductibile. Documentația de casare rămâne necesară ca probă a operațiunii, nu ca o condiție de deductibilitate.</w:t>
      </w:r>
    </w:p>
    <w:p>
      <w:pPr>
        <w:jc w:val="both"/>
      </w:pPr>
      <w:r>
        <w:rPr>
          <w:i/>
        </w:rPr>
        <w:t>Temei:</w:t>
      </w:r>
      <w:r>
        <w:t xml:space="preserve"> Cod fiscal art. 28 alin. (17).</w:t>
      </w:r>
    </w:p>
    <w:p>
      <w:pPr>
        <w:jc w:val="both"/>
      </w:pPr>
      <w:r>
        <w:rPr>
          <w:i/>
        </w:rPr>
        <w:t>Imobilizări — ieșiri din gestiune · training 12.08.2026, întrebarea 5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