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Control, documente și numerar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Surse: training 19.08.2026 · adâncit cu 21.08.2026, 26.08.2026 și 28.08.2026 — cum se citește un cont, ce cere legea de la un document și unde se rupe disciplina de casă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Convenția de notare</w:t>
      </w:r>
    </w:p>
    <w:p>
      <w:pPr>
        <w:jc w:val="both"/>
      </w:pPr>
      <w:r>
        <w:rPr>
          <w:i/>
        </w:rPr>
        <w:t>Material de studiu structurat pe baza notițelor de training din 19.08.2026.</w:t>
      </w:r>
    </w:p>
    <w:p>
      <w:pPr>
        <w:jc w:val="both"/>
      </w:pPr>
      <w:r>
        <w:t>Convenție de notare folosită peste tot în ghid:</w:t>
      </w:r>
    </w:p>
    <w:p>
      <w:pPr>
        <w:ind w:left="360"/>
      </w:pPr>
      <w:r>
        <w:rPr>
          <w:rFonts w:ascii="Consolas" w:hAnsi="Consolas"/>
          <w:i/>
          <w:color w:val="5D6E7E"/>
          <w:sz w:val="19"/>
        </w:rPr>
        <w:t>cont debitor = cont creditor · sumă</w:t>
      </w:r>
    </w:p>
    <w:p>
      <w:pPr>
        <w:pStyle w:val="Heading2"/>
      </w:pPr>
      <w:r>
        <w:t>1. Cum se citește un cont</w:t>
      </w:r>
    </w:p>
    <w:p>
      <w:pPr>
        <w:jc w:val="both"/>
      </w:pPr>
      <w:r>
        <w:t>Înainte de orice înregistrare, două lucruri fixe, care nu se schimbă niciodată:</w:t>
      </w:r>
    </w:p>
    <w:p>
      <w:pPr>
        <w:pStyle w:val="ListBullet"/>
      </w:pPr>
      <w:r>
        <w:rPr>
          <w:b/>
        </w:rPr>
        <w:t>Debitul este partea stângă</w:t>
      </w:r>
      <w:r>
        <w:t xml:space="preserve"> a contului.</w:t>
      </w:r>
    </w:p>
    <w:p>
      <w:pPr>
        <w:pStyle w:val="ListBullet"/>
      </w:pPr>
      <w:r>
        <w:rPr>
          <w:b/>
        </w:rPr>
        <w:t>Creditul este partea dreaptă</w:t>
      </w:r>
      <w:r>
        <w:t xml:space="preserve"> a contului.</w:t>
      </w:r>
    </w:p>
    <w:p>
      <w:pPr>
        <w:jc w:val="both"/>
      </w:pPr>
      <w:r>
        <w:t>Restul decurge din natura contului: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Cont de </w:t>
            </w:r>
            <w:r>
              <w:rPr>
                <w:b/>
                <w:sz w:val="18"/>
              </w:rPr>
              <w:t>ACTIV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Cont de </w:t>
            </w:r>
            <w:r>
              <w:rPr>
                <w:b/>
                <w:sz w:val="18"/>
              </w:rPr>
              <w:t>PASIV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 reprezintă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Ce </w:t>
            </w:r>
            <w:r>
              <w:rPr>
                <w:b/>
                <w:sz w:val="18"/>
              </w:rPr>
              <w:t>deține</w:t>
            </w:r>
            <w:r>
              <w:rPr>
                <w:sz w:val="18"/>
              </w:rPr>
              <w:t xml:space="preserve"> societatea (bunuri, creanțe, bani)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Ce </w:t>
            </w:r>
            <w:r>
              <w:rPr>
                <w:b/>
                <w:sz w:val="18"/>
              </w:rPr>
              <w:t>datorează</w:t>
            </w:r>
            <w:r>
              <w:rPr>
                <w:sz w:val="18"/>
              </w:rPr>
              <w:t xml:space="preserve"> societatea (datorii, capital)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Prima funcțiune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Începe prin a se </w:t>
            </w:r>
            <w:r>
              <w:rPr>
                <w:b/>
                <w:sz w:val="18"/>
              </w:rPr>
              <w:t>debita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Începe prin a se </w:t>
            </w:r>
            <w:r>
              <w:rPr>
                <w:b/>
                <w:sz w:val="18"/>
              </w:rPr>
              <w:t>credita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Crește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debit</w:t>
            </w:r>
            <w:r>
              <w:rPr>
                <w:sz w:val="18"/>
              </w:rPr>
              <w:t xml:space="preserve"> (stânga)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credit</w:t>
            </w:r>
            <w:r>
              <w:rPr>
                <w:sz w:val="18"/>
              </w:rPr>
              <w:t xml:space="preserve"> (dreapta)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Scade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credit</w:t>
            </w:r>
            <w:r>
              <w:rPr>
                <w:sz w:val="18"/>
              </w:rPr>
              <w:t xml:space="preserve"> (dreapta)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 </w:t>
            </w:r>
            <w:r>
              <w:rPr>
                <w:b/>
                <w:sz w:val="18"/>
              </w:rPr>
              <w:t>debit</w:t>
            </w:r>
            <w:r>
              <w:rPr>
                <w:sz w:val="18"/>
              </w:rPr>
              <w:t xml:space="preserve"> (stânga)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final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debitor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creditor</w:t>
            </w:r>
          </w:p>
        </w:tc>
      </w:tr>
    </w:tbl>
    <w:p/>
    <w:p>
      <w:pPr>
        <w:jc w:val="both"/>
      </w:pPr>
      <w:r>
        <w:t xml:space="preserve">Exemple: 371 Mărfuri, 4111 Clienți, 5121 Conturi la bănci → </w:t>
      </w:r>
      <w:r>
        <w:rPr>
          <w:b/>
        </w:rPr>
        <w:t>activ</w:t>
      </w:r>
      <w:r>
        <w:t>.</w:t>
      </w:r>
    </w:p>
    <w:p>
      <w:pPr>
        <w:jc w:val="both"/>
      </w:pPr>
      <w:r>
        <w:t xml:space="preserve">401 Furnizori, 419 Clienți-creditori, 4423 TVA de plată → </w:t>
      </w:r>
      <w:r>
        <w:rPr>
          <w:b/>
        </w:rPr>
        <w:t>pasiv</w:t>
      </w:r>
      <w:r>
        <w:t>.</w:t>
      </w:r>
    </w:p>
    <w:p>
      <w:pPr>
        <w:jc w:val="both"/>
      </w:pPr>
      <w:r>
        <w:rPr>
          <w:b/>
        </w:rPr>
        <w:t>Conturi bifuncționale.</w:t>
      </w:r>
      <w:r>
        <w:t xml:space="preserve"> Câteva conturi pot avea, după caz, sold debitor sau creditor: </w:t>
      </w:r>
      <w:r>
        <w:rPr>
          <w:b/>
        </w:rPr>
        <w:t>408</w:t>
      </w:r>
      <w:r>
        <w:t xml:space="preserve">, </w:t>
      </w:r>
      <w:r>
        <w:rPr>
          <w:b/>
        </w:rPr>
        <w:t>418</w:t>
      </w:r>
      <w:r>
        <w:t xml:space="preserve">, </w:t>
      </w:r>
      <w:r>
        <w:rPr>
          <w:b/>
        </w:rPr>
        <w:t>4428</w:t>
      </w:r>
      <w:r>
        <w:t xml:space="preserve">, </w:t>
      </w:r>
      <w:r>
        <w:rPr>
          <w:b/>
        </w:rPr>
        <w:t>473</w:t>
      </w:r>
      <w:r>
        <w:t xml:space="preserve">, </w:t>
      </w:r>
      <w:r>
        <w:rPr>
          <w:b/>
        </w:rPr>
        <w:t>481</w:t>
      </w:r>
      <w:r>
        <w:t>. Exact acestea sunt cele care cer atenție și analitice — vezi secțiunile 4 și 5.</w:t>
      </w:r>
    </w:p>
    <w:p>
      <w:pPr>
        <w:jc w:val="both"/>
      </w:pPr>
      <w:r>
        <w:rPr>
          <w:b/>
        </w:rPr>
        <w:t>Semnal de eroare:</w:t>
      </w:r>
      <w:r>
        <w:t xml:space="preserve"> un cont de activ cu sold creditor (sau invers) înseamnă aproape întotdeauna o înregistrare greșită. Un 4111 cu sold creditor = ai încasat mai mult decât ai facturat (vezi 7.3).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Operațiuni speciale</w:t>
      </w:r>
    </w:p>
    <w:p>
      <w:pPr>
        <w:pStyle w:val="Heading3"/>
      </w:pPr>
      <w:r>
        <w:t>2.1 Prețul din contract fără mențiune de TVA</w:t>
      </w:r>
    </w:p>
    <w:p>
      <w:pPr>
        <w:jc w:val="both"/>
      </w:pPr>
      <w:r>
        <w:t xml:space="preserve">Când un contract menționează sec o sumă — „100.000 lei", punct, fără nicio precizare — acea sumă se consideră că este </w:t>
      </w:r>
      <w:r>
        <w:rPr>
          <w:b/>
        </w:rPr>
        <w:t>cu tot cu TVA</w:t>
      </w:r>
      <w:r>
        <w:t>.</w:t>
      </w:r>
    </w:p>
    <w:p>
      <w:pPr>
        <w:jc w:val="both"/>
      </w:pPr>
      <w:r>
        <w:t xml:space="preserve">De aceea este esențial ca în contract să se menționeze explicit: prețul </w:t>
      </w:r>
      <w:r>
        <w:rPr>
          <w:b/>
        </w:rPr>
        <w:t>cu sau fără TVA</w:t>
      </w:r>
      <w:r>
        <w:t>, și tranșele în care se primesc banii.</w:t>
      </w:r>
    </w:p>
    <w:p>
      <w:pPr>
        <w:jc w:val="both"/>
      </w:pPr>
      <w:r>
        <w:t xml:space="preserve">Principiul este consacrat de jurisprudența CJUE (cauzele conexate C-249/12 și C-250/12, </w:t>
      </w:r>
      <w:r>
        <w:rPr>
          <w:i/>
        </w:rPr>
        <w:t>Tulică și Plavoșin</w:t>
      </w:r>
      <w:r>
        <w:t>).</w:t>
      </w:r>
    </w:p>
    <w:p>
      <w:pPr>
        <w:pStyle w:val="Heading3"/>
      </w:pPr>
      <w:r>
        <w:t>2.2 Încasare mai mare decât factura</w:t>
      </w:r>
    </w:p>
    <w:p>
      <w:pPr>
        <w:jc w:val="both"/>
      </w:pPr>
      <w:r>
        <w:t>Ai emis o factură de 10.000 lei și ai încasat 15.000 lei.</w:t>
      </w:r>
    </w:p>
    <w:p>
      <w:pPr>
        <w:jc w:val="both"/>
      </w:pPr>
      <w:r>
        <w:t xml:space="preserve">Diferența de 5.000 lei este un </w:t>
      </w:r>
      <w:r>
        <w:rPr>
          <w:b/>
        </w:rPr>
        <w:t>avans</w:t>
      </w:r>
      <w:r>
        <w:t xml:space="preserve">, nu un venit — deci </w:t>
      </w:r>
      <w:r>
        <w:rPr>
          <w:b/>
        </w:rPr>
        <w:t>nu</w:t>
      </w:r>
      <w:r>
        <w:t xml:space="preserve"> poate merge pe 472. Merge pe </w:t>
      </w:r>
      <w:r>
        <w:rPr>
          <w:b/>
        </w:rPr>
        <w:t>419</w:t>
      </w:r>
      <w:r>
        <w:t>, iar din ea trebuie extras TVA-ul și colectat, chiar dacă banii se returnează partenerului luna următoare.</w:t>
      </w:r>
    </w:p>
    <w:p>
      <w:pPr>
        <w:jc w:val="both"/>
      </w:pPr>
      <w:r>
        <w:t>Suma încasată în plus este TVA-inclusivă:</w:t>
      </w:r>
    </w:p>
    <w:p>
      <w:pPr>
        <w:pStyle w:val="ListBullet"/>
      </w:pPr>
      <w:r>
        <w:t xml:space="preserve">baza: 5.000 ÷ 1,21 = </w:t>
      </w:r>
      <w:r>
        <w:rPr>
          <w:b/>
        </w:rPr>
        <w:t>4.132,23</w:t>
      </w:r>
    </w:p>
    <w:p>
      <w:pPr>
        <w:pStyle w:val="ListBullet"/>
      </w:pPr>
      <w:r>
        <w:t xml:space="preserve">TVA: </w:t>
      </w:r>
      <w:r>
        <w:rPr>
          <w:b/>
        </w:rPr>
        <w:t>867,77</w:t>
      </w:r>
    </w:p>
    <w:p>
      <w:pPr>
        <w:ind w:left="280"/>
      </w:pPr>
      <w:r>
        <w:rPr>
          <w:rFonts w:ascii="Consolas" w:hAnsi="Consolas"/>
          <w:sz w:val="18"/>
        </w:rPr>
        <w:t>4111 = 419    ·   4.132,23</w:t>
        <w:br/>
        <w:t>4111 = 4427   ·     867,77</w:t>
      </w:r>
    </w:p>
    <w:p>
      <w:pPr>
        <w:jc w:val="both"/>
      </w:pPr>
      <w:r>
        <w:t xml:space="preserve">Impactul fiscal apare doar când încasarea și restituirea </w:t>
      </w:r>
      <w:r>
        <w:rPr>
          <w:b/>
        </w:rPr>
        <w:t>nu se închid în aceeași lună</w:t>
      </w:r>
      <w:r>
        <w:t>. Dacă returnezi banii în aceeași lună, situația se neutralizează.</w:t>
      </w:r>
    </w:p>
    <w:p>
      <w:pPr>
        <w:jc w:val="both"/>
      </w:pPr>
      <w:r>
        <w:t xml:space="preserve">Practic: soldul lui 4111 poate apărea ca debit cu minus sau ca sold creditor — de aceea se ia </w:t>
      </w:r>
      <w:r>
        <w:rPr>
          <w:b/>
        </w:rPr>
        <w:t>fișa pe plătitor</w:t>
      </w:r>
      <w:r>
        <w:t xml:space="preserve"> și se verifică. Trebuie contraverificat </w:t>
      </w:r>
      <w:r>
        <w:rPr>
          <w:b/>
        </w:rPr>
        <w:t>4427</w:t>
      </w:r>
      <w:r>
        <w:t>, ca să confirmi că softul chiar a extras TVA-ul pentru tranzacția respectivă.</w:t>
      </w:r>
    </w:p>
    <w:p>
      <w:pPr>
        <w:jc w:val="both"/>
      </w:pPr>
      <w:r>
        <w:t xml:space="preserve">Legiuitorul nu impune corecții când </w:t>
      </w:r>
      <w:r>
        <w:rPr>
          <w:b/>
        </w:rPr>
        <w:t>tu</w:t>
      </w:r>
      <w:r>
        <w:t xml:space="preserve"> plătești în plus, dar impune corecția atunci când </w:t>
      </w:r>
      <w:r>
        <w:rPr>
          <w:b/>
        </w:rPr>
        <w:t>tu încasezi</w:t>
      </w:r>
      <w:r>
        <w:t xml:space="preserve"> în plus.</w:t>
      </w:r>
    </w:p>
    <w:p>
      <w:pPr>
        <w:pStyle w:val="Heading3"/>
      </w:pPr>
      <w:r>
        <w:t>2.3 Note despre 455</w:t>
      </w:r>
    </w:p>
    <w:p>
      <w:pPr>
        <w:jc w:val="both"/>
      </w:pPr>
      <w:r>
        <w:t xml:space="preserve">Contul </w:t>
      </w:r>
      <w:r>
        <w:rPr>
          <w:b/>
        </w:rPr>
        <w:t>455</w:t>
      </w:r>
      <w:r>
        <w:t xml:space="preserve"> Sume datorate acționarilor/asociaților are restricții privind operațiunile în numerar: plățile din 455 prin casierie nu mai sunt permise în condițiile anterioare. ❓ Punct de verificat în textul legal în vigoare — vezi Anexa D.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Numerar și plafoane (Legea 70/2015)</w:t>
      </w:r>
    </w:p>
    <w:p>
      <w:pPr>
        <w:jc w:val="both"/>
      </w:pPr>
      <w:r>
        <w:t>Plafoanele reținute la training: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 operațiune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Plafon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Între persoane juridice (B2B)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5.000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Încasări de la persoane fizice (B2C)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10.000 lei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Între persoane fizice (C2C)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50.000 lei</w:t>
            </w:r>
          </w:p>
        </w:tc>
      </w:tr>
    </w:tbl>
    <w:p/>
    <w:p>
      <w:pPr>
        <w:jc w:val="both"/>
      </w:pPr>
      <w:r>
        <w:rPr>
          <w:b/>
        </w:rPr>
        <w:t>Cum se citesc plafoanele — răspuns la întrebarea din notițe:</w:t>
      </w:r>
    </w:p>
    <w:p>
      <w:pPr>
        <w:pStyle w:val="ListBullet"/>
      </w:pPr>
      <w:r>
        <w:t xml:space="preserve">Sunt </w:t>
      </w:r>
      <w:r>
        <w:rPr>
          <w:b/>
        </w:rPr>
        <w:t>plafoane zilnice</w:t>
      </w:r>
      <w:r>
        <w:t xml:space="preserve">, </w:t>
      </w:r>
      <w:r>
        <w:rPr>
          <w:b/>
        </w:rPr>
        <w:t>per persoană</w:t>
      </w:r>
      <w:r>
        <w:t xml:space="preserve"> — nu per contract și nu per document izolat. Adică: de la același partener, într-o zi, nu poți încasa în numerar peste plafon, indiferent câte documente emiți.</w:t>
      </w:r>
    </w:p>
    <w:p>
      <w:pPr>
        <w:pStyle w:val="ListBullet"/>
      </w:pPr>
      <w:r>
        <w:t xml:space="preserve">Pentru operațiunile între persoane juridice există și un </w:t>
      </w:r>
      <w:r>
        <w:rPr>
          <w:b/>
        </w:rPr>
        <w:t>plafon total zilnic</w:t>
      </w:r>
      <w:r>
        <w:t>, peste limita per persoană.</w:t>
      </w:r>
    </w:p>
    <w:p>
      <w:pPr>
        <w:pStyle w:val="ListBullet"/>
      </w:pPr>
      <w:r>
        <w:rPr>
          <w:b/>
        </w:rPr>
        <w:t>Fragmentarea este interzisă expres.</w:t>
      </w:r>
      <w:r>
        <w:t xml:space="preserve"> Nu poți sparge o factură de 12.000 lei în trei tranșe de 4.000 lei, nici în aceeași zi, nici pe zile consecutive, dacă scopul este eludarea plafonului. Aceasta este și logica pentru care plafonul e „pe zi": altfel ar fi trivial de ocolit.</w:t>
      </w:r>
    </w:p>
    <w:p>
      <w:pPr>
        <w:pStyle w:val="ListBullet"/>
      </w:pPr>
      <w:r>
        <w:t xml:space="preserve">Există și un plafon pentru </w:t>
      </w:r>
      <w:r>
        <w:rPr>
          <w:b/>
        </w:rPr>
        <w:t>soldul casieriei</w:t>
      </w:r>
      <w:r>
        <w:t xml:space="preserve"> la sfârșitul zilei.</w:t>
      </w:r>
    </w:p>
    <w:p>
      <w:pPr>
        <w:jc w:val="both"/>
      </w:pPr>
      <w:r>
        <w:t>Restul, peste plafon, se decontează obligatoriu prin bancă.</w:t>
      </w:r>
    </w:p>
    <w:p>
      <w:pPr>
        <w:ind w:left="360"/>
      </w:pPr>
      <w:r>
        <w:rPr>
          <w:i/>
          <w:color w:val="5D6E7E"/>
        </w:rPr>
        <w:t>Cifrele exacte au fost modificate prin Legea 296/2023. Înainte de a le aplica la un client, confirmă valorile în textul Legii 70/2015 în vigoare la data operațiunii ❓ — vezi Anexa D.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Documente, contracte și riscuri la control</w:t>
      </w:r>
    </w:p>
    <w:p>
      <w:pPr>
        <w:pStyle w:val="Heading3"/>
      </w:pPr>
      <w:r>
        <w:t>4.1 „Prestări servicii conform contract"</w:t>
      </w:r>
    </w:p>
    <w:p>
      <w:pPr>
        <w:jc w:val="both"/>
      </w:pPr>
      <w:r>
        <w:t xml:space="preserve">Când pe documentul de intrare scrie doar atât, ai o problemă: legea obligă la descrierea </w:t>
      </w:r>
      <w:r>
        <w:rPr>
          <w:b/>
        </w:rPr>
        <w:t>naturii serviciului prestat</w:t>
      </w:r>
      <w:r>
        <w:t xml:space="preserve"> (art. 319 Cod fiscal — denumirea și cantitatea bunurilor livrate, denumirea serviciilor prestate).</w:t>
      </w:r>
    </w:p>
    <w:p>
      <w:pPr>
        <w:jc w:val="both"/>
      </w:pPr>
      <w:r>
        <w:t>Prestările de servicii sunt foarte diverse, iar încadrarea contează:</w:t>
      </w:r>
    </w:p>
    <w:p>
      <w:pPr>
        <w:pStyle w:val="ListBullet"/>
      </w:pPr>
      <w:r>
        <w:t xml:space="preserve">dacă factura menționează </w:t>
      </w:r>
      <w:r>
        <w:rPr>
          <w:b/>
        </w:rPr>
        <w:t>numărul contractului</w:t>
      </w:r>
      <w:r>
        <w:t>, ești norocos — te uiți în contract;</w:t>
      </w:r>
    </w:p>
    <w:p>
      <w:pPr>
        <w:pStyle w:val="ListBullet"/>
      </w:pPr>
      <w:r>
        <w:t>o factură de 628 de 100.000 lei cere o cu totul altă abordare decât una de 500 lei;</w:t>
      </w:r>
    </w:p>
    <w:p>
      <w:pPr>
        <w:pStyle w:val="ListBullet"/>
      </w:pPr>
      <w:r>
        <w:t xml:space="preserve">cazul fericit: servicii de arhitectură / proiectare → nu e cheltuială, e </w:t>
      </w:r>
      <w:r>
        <w:rPr>
          <w:b/>
        </w:rPr>
        <w:t>imobilizare în curs</w:t>
      </w:r>
      <w:r>
        <w:t>.</w:t>
      </w:r>
    </w:p>
    <w:p>
      <w:pPr>
        <w:pStyle w:val="Heading3"/>
      </w:pPr>
      <w:r>
        <w:t>4.2 Contractul la prestările de servicii</w:t>
      </w:r>
    </w:p>
    <w:p>
      <w:pPr>
        <w:jc w:val="both"/>
      </w:pPr>
      <w:r>
        <w:t xml:space="preserve">La prestări de servicii trebuie să existe </w:t>
      </w:r>
      <w:r>
        <w:rPr>
          <w:b/>
        </w:rPr>
        <w:t>contract</w:t>
      </w:r>
      <w:r>
        <w:t xml:space="preserve">. Factura este documentul fiscal; contractul detaliază </w:t>
      </w:r>
      <w:r>
        <w:rPr>
          <w:b/>
        </w:rPr>
        <w:t>cum interacționezi cu partenerul</w:t>
      </w:r>
      <w:r>
        <w:t>.</w:t>
      </w:r>
    </w:p>
    <w:p>
      <w:pPr>
        <w:ind w:left="360"/>
      </w:pPr>
      <w:r>
        <w:rPr>
          <w:i/>
          <w:color w:val="5D6E7E"/>
        </w:rPr>
        <w:t xml:space="preserve">Nuanță: cerința expresă de a avea contract pentru servicii de management și consultanță, din vechiul Cod fiscal, a fost abrogată. Codul fiscal actual (art. 25 alin. 1) cere ca o cheltuială să fie efectuată </w:t>
      </w:r>
      <w:r>
        <w:rPr>
          <w:b/>
          <w:i/>
          <w:color w:val="5D6E7E"/>
        </w:rPr>
        <w:t>în scopul desfășurării activității economice</w:t>
      </w:r>
      <w:r>
        <w:rPr>
          <w:i/>
          <w:color w:val="5D6E7E"/>
        </w:rPr>
        <w:t xml:space="preserve"> și susținută cu documente justificative. Contractul rămâne principalul mijloc de probă la control — deci, practic, indispensabil.</w:t>
      </w:r>
    </w:p>
    <w:p>
      <w:pPr>
        <w:pStyle w:val="Heading3"/>
      </w:pPr>
      <w:r>
        <w:t>4.3 Cazul penalităților — de reținut</w:t>
      </w:r>
    </w:p>
    <w:p>
      <w:pPr>
        <w:jc w:val="both"/>
      </w:pPr>
      <w:r>
        <w:t>O firmă de construcții a avut contract de livrare cu un client. Clientul nu a mai achitat. În contract, la capitolul penalități, erau trecute sume foarte mari — pe care firma nu le-a mai facturat și nu le-a trecut la venituri.</w:t>
      </w:r>
    </w:p>
    <w:p>
      <w:pPr>
        <w:jc w:val="both"/>
      </w:pPr>
      <w:r>
        <w:t xml:space="preserve">ANAF a constatat că firma </w:t>
      </w:r>
      <w:r>
        <w:rPr>
          <w:b/>
        </w:rPr>
        <w:t>nu și-a respectat propriul contract</w:t>
      </w:r>
      <w:r>
        <w:t>, a calculat venituri și majorări pentru soldurile neîncasate, iar firma a rămas și fără venit, și cu bani dați la stat.</w:t>
      </w:r>
    </w:p>
    <w:p>
      <w:pPr>
        <w:jc w:val="both"/>
      </w:pPr>
      <w:r>
        <w:rPr>
          <w:b/>
        </w:rPr>
        <w:t>Concluzie:</w:t>
      </w:r>
      <w:r>
        <w:t xml:space="preserve"> în contracte se trec </w:t>
      </w:r>
      <w:r>
        <w:rPr>
          <w:b/>
        </w:rPr>
        <w:t>penalități realiste</w:t>
      </w:r>
      <w:r>
        <w:t>. O clauză de penalitate exagerată nu te protejează — te expune.</w:t>
      </w:r>
    </w:p>
    <w:p>
      <w:pPr>
        <w:pStyle w:val="Heading3"/>
      </w:pPr>
      <w:r>
        <w:t>4.4 Sistemele informatice</w:t>
      </w:r>
    </w:p>
    <w:p>
      <w:pPr>
        <w:jc w:val="both"/>
      </w:pPr>
      <w:r>
        <w:t xml:space="preserve">Programele au ecrane cu o structură în spate care generează notele contabile fără ca tu să le vezi. Dacă ceva pare suspect, instrumentul de verificare este </w:t>
      </w:r>
      <w:r>
        <w:rPr>
          <w:b/>
        </w:rPr>
        <w:t>fișa de cont</w:t>
      </w:r>
      <w:r>
        <w:t>. Nu te baza pe faptul că softul „știe" — mai ales pe conturile bifuncționale.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Răspunsuri la întrebările din notițe</w:t>
      </w:r>
    </w:p>
    <w:p>
      <w:pPr>
        <w:pStyle w:val="Heading3"/>
      </w:pPr>
      <w:r>
        <w:t>6.1 Ce alte corelații se pot face din balanță</w:t>
      </w:r>
    </w:p>
    <w:p>
      <w:pPr>
        <w:jc w:val="both"/>
      </w:pPr>
      <w:r>
        <w:t>Sunt în secțiunea 5. Tiparul e același de fiecare dată și se poate aplica oricărui cont</w:t>
      </w:r>
    </w:p>
    <w:p>
      <w:pPr>
        <w:jc w:val="both"/>
      </w:pPr>
      <w:r>
        <w:t xml:space="preserve">nou: </w:t>
      </w:r>
      <w:r>
        <w:rPr>
          <w:b/>
        </w:rPr>
        <w:t>întreabă ce document extern conține aceeași informație</w:t>
      </w:r>
      <w:r>
        <w:t>, apoi compară.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Documentul care îl confirmă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421 + 423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statul de plată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444, 4315, 4316, 436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D112 și fișa de plătitor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adresa de înființare a popririi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4423 / 4424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decontul de TVA și fișa de 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4426 / 4427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jurnalele de cumpărări și vânzări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5121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extrasul de cont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5311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registrul de casă</w:t>
            </w:r>
          </w:p>
        </w:tc>
      </w:tr>
    </w:tbl>
    <w:p/>
    <w:p>
      <w:pPr>
        <w:jc w:val="both"/>
      </w:pPr>
      <w:r>
        <w:t>Un cont fără document extern care să-l confirme e un cont pe care nu îl poți verifica</w:t>
      </w:r>
    </w:p>
    <w:p>
      <w:pPr>
        <w:jc w:val="both"/>
      </w:pPr>
      <w:r>
        <w:t>decât intern — și de aceea conturile de tranzit (473, 581) trebuie să ajungă la zero, nu</w:t>
      </w:r>
    </w:p>
    <w:p>
      <w:pPr>
        <w:jc w:val="both"/>
      </w:pPr>
      <w:r>
        <w:t>verificate: ele n-au corespondent afară.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7. Conturile care țin rulajele curate</w:t>
      </w:r>
    </w:p>
    <w:p>
      <w:pPr>
        <w:pStyle w:val="Heading3"/>
      </w:pPr>
      <w:r>
        <w:t>7.1 Taxele locale prin 446, nu direct pe cheltuială</w:t>
      </w:r>
    </w:p>
    <w:p>
      <w:pPr>
        <w:ind w:left="280"/>
      </w:pPr>
      <w:r>
        <w:rPr>
          <w:rFonts w:ascii="Consolas" w:hAnsi="Consolas"/>
          <w:sz w:val="18"/>
        </w:rPr>
        <w:t>446 = 5121                  plata taxei</w:t>
        <w:br/>
        <w:t>471 = 446                   dacă acoperă o perioadă mai lungă</w:t>
        <w:br/>
        <w:t>635 = 471                   eșalonat, pe luni</w:t>
        <w:br/>
        <w:t>635 = 446                   direct, dacă suma e mică</w:t>
      </w:r>
    </w:p>
    <w:p>
      <w:pPr>
        <w:jc w:val="both"/>
      </w:pPr>
      <w:r>
        <w:t>➕ Rostul lui 446 ca punct de trecere: taxa plătită anticipat pentru un an întreg nu e</w:t>
      </w:r>
    </w:p>
    <w:p>
      <w:pPr>
        <w:jc w:val="both"/>
      </w:pPr>
      <w:r>
        <w:t>cheltuiala lunii în care s-a plătit. Pentru sume mici nu merită mecanismul cu 471.</w:t>
      </w:r>
    </w:p>
    <w:p>
      <w:pPr>
        <w:pStyle w:val="Heading3"/>
      </w:pPr>
      <w:r>
        <w:t>7.2 Contul 4481 — datorii din acte de control</w:t>
      </w:r>
    </w:p>
    <w:p>
      <w:pPr>
        <w:jc w:val="both"/>
      </w:pPr>
      <w:r>
        <w:rPr>
          <w:b/>
        </w:rPr>
        <w:t>4481 este cont de pasiv</w:t>
      </w:r>
      <w:r>
        <w:t>: dobânzi, penalități și sume stabilite prin acte de control,</w:t>
      </w:r>
    </w:p>
    <w:p>
      <w:pPr>
        <w:jc w:val="both"/>
      </w:pPr>
      <w:r>
        <w:t>inclusiv cele aferente perioadelor anterioare.</w:t>
      </w:r>
    </w:p>
    <w:p>
      <w:pPr>
        <w:jc w:val="both"/>
      </w:pPr>
      <w:r>
        <w:t>Când ANAF vine în control și întocmește o decizie de impunere — să zicem 10.000 lei TVA</w:t>
      </w:r>
    </w:p>
    <w:p>
      <w:pPr>
        <w:jc w:val="both"/>
      </w:pPr>
      <w:r>
        <w:t xml:space="preserve">suplimentar — suma </w:t>
      </w:r>
      <w:r>
        <w:rPr>
          <w:b/>
        </w:rPr>
        <w:t>nu se înregistrează în 4423</w:t>
      </w:r>
      <w:r>
        <w:t>, pentru că ar denatura rulajul curent</w:t>
      </w:r>
    </w:p>
    <w:p>
      <w:pPr>
        <w:jc w:val="both"/>
      </w:pPr>
      <w:r>
        <w:t>și ar produce diferență la decont.</w:t>
      </w:r>
    </w:p>
    <w:p>
      <w:pPr>
        <w:ind w:left="280"/>
      </w:pPr>
      <w:r>
        <w:rPr>
          <w:rFonts w:ascii="Consolas" w:hAnsi="Consolas"/>
          <w:sz w:val="18"/>
        </w:rPr>
        <w:t>6588 = 4481       cheltuială nedeductibilă fiscal</w:t>
      </w:r>
    </w:p>
    <w:p>
      <w:pPr>
        <w:jc w:val="both"/>
      </w:pPr>
      <w:r>
        <w:t xml:space="preserve">❓ </w:t>
      </w:r>
      <w:r>
        <w:rPr>
          <w:b/>
        </w:rPr>
        <w:t>Contradicție de rezolvat cu formatorul.</w:t>
      </w:r>
      <w:r>
        <w:t xml:space="preserve"> Notițele din 21.08.2026 spun că sumele din</w:t>
      </w:r>
    </w:p>
    <w:p>
      <w:pPr>
        <w:jc w:val="both"/>
      </w:pPr>
      <w:r>
        <w:t>decizii de impunere se înregistrează „în 4423 cu analitic distinct, tocmai ca să nu ajungă</w:t>
      </w:r>
    </w:p>
    <w:p>
      <w:pPr>
        <w:jc w:val="both"/>
      </w:pPr>
      <w:r>
        <w:t>din greșeală în decontul lunii următoare". Notițele din 26.08.2026 spun exact invers: nu</w:t>
      </w:r>
    </w:p>
    <w:p>
      <w:pPr>
        <w:jc w:val="both"/>
      </w:pPr>
      <w:r>
        <w:t>prin 4423, ci prin 4481, „pentru că denaturează rulajul curent".</w:t>
      </w:r>
    </w:p>
    <w:p>
      <w:pPr>
        <w:jc w:val="both"/>
      </w:pPr>
      <w:r>
        <w:t>Ambele afirmații vin de la același formator, la cinci zile distanță. Am adoptat varianta</w:t>
      </w:r>
    </w:p>
    <w:p>
      <w:pPr>
        <w:jc w:val="both"/>
      </w:pPr>
      <w:r>
        <w:t>din 26.08 pentru că e cea care dă motivul, iar motivul e verificabil: un analitic al lui</w:t>
      </w:r>
    </w:p>
    <w:p>
      <w:pPr>
        <w:jc w:val="both"/>
      </w:pPr>
      <w:r>
        <w:t>4423 rămâne totuși în soldul lui 4423, adică fix contul pe care decontul îl reconciliază.</w:t>
      </w:r>
    </w:p>
    <w:p>
      <w:pPr>
        <w:jc w:val="both"/>
      </w:pPr>
      <w:r>
        <w:t>Dar decizia îi aparține formatorului, nu mie.</w:t>
      </w:r>
    </w:p>
    <w:p>
      <w:pPr>
        <w:pStyle w:val="Heading3"/>
      </w:pPr>
      <w:r>
        <w:t>7.3 Contul 4482 — plăți eronate către buget</w:t>
      </w:r>
    </w:p>
    <w:p>
      <w:pPr>
        <w:jc w:val="both"/>
      </w:pPr>
      <w:r>
        <w:rPr>
          <w:b/>
        </w:rPr>
        <w:t>4482 este cont de activ</w:t>
      </w:r>
      <w:r>
        <w:t>: ține sumele plătite eronat, până la lămurire.</w:t>
      </w:r>
    </w:p>
    <w:p>
      <w:pPr>
        <w:jc w:val="both"/>
      </w:pPr>
      <w:r>
        <w:t>Exemplu: impozit pe salarii de plată 715 lei, în soldul creditor al lui 444. Din bancă a</w:t>
      </w:r>
    </w:p>
    <w:p>
      <w:pPr>
        <w:jc w:val="both"/>
      </w:pPr>
      <w:r>
        <w:t>ieșit o plată de 751 lei (cifre inversate):</w:t>
      </w:r>
    </w:p>
    <w:p>
      <w:pPr>
        <w:ind w:left="280"/>
      </w:pPr>
      <w:r>
        <w:rPr>
          <w:rFonts w:ascii="Consolas" w:hAnsi="Consolas"/>
          <w:sz w:val="18"/>
        </w:rPr>
        <w:t>444  = 5121       715        cât se datora</w:t>
        <w:br/>
        <w:t>4482 = 5121        36        diferența plătită în plus</w:t>
      </w:r>
    </w:p>
    <w:p>
      <w:pPr>
        <w:jc w:val="both"/>
      </w:pPr>
      <w:r>
        <w:t>Luna următoare, soldul lui 4482 diminuează plata datorată.</w:t>
      </w:r>
    </w:p>
    <w:p>
      <w:pPr>
        <w:jc w:val="both"/>
      </w:pPr>
      <w:r>
        <w:t>Al doilea caz, frecvent la cei cu mai multe firme: ordinul de plată pleacă din contul</w:t>
      </w:r>
    </w:p>
    <w:p>
      <w:pPr>
        <w:jc w:val="both"/>
      </w:pPr>
      <w:r>
        <w:t xml:space="preserve">firmei, dar cu </w:t>
      </w:r>
      <w:r>
        <w:rPr>
          <w:b/>
        </w:rPr>
        <w:t>alt CUI de plătitor</w:t>
      </w:r>
      <w:r>
        <w:t>. Banii sting datoria altei firme, iar firma plătitoare</w:t>
      </w:r>
    </w:p>
    <w:p>
      <w:pPr>
        <w:jc w:val="both"/>
      </w:pPr>
      <w:r>
        <w:t>rămâne cu datoria neachitată la ANAF. Plata se înregistrează pe 4482 — sold în așteptare,</w:t>
      </w:r>
    </w:p>
    <w:p>
      <w:pPr>
        <w:jc w:val="both"/>
      </w:pPr>
      <w:r>
        <w:t>care se disecă — până când cealaltă firmă returnează sumele.</w:t>
      </w:r>
    </w:p>
    <w:p>
      <w:pPr>
        <w:jc w:val="both"/>
      </w:pPr>
      <w:r>
        <w:t xml:space="preserve">➕ Rostul ambelor conturi e același: </w:t>
      </w:r>
      <w:r>
        <w:rPr>
          <w:b/>
        </w:rPr>
        <w:t>să nu altereze rulajele conturilor curente</w:t>
      </w:r>
      <w:r>
        <w:t>. ANAF</w:t>
      </w:r>
    </w:p>
    <w:p>
      <w:pPr>
        <w:jc w:val="both"/>
      </w:pPr>
      <w:r>
        <w:t>contraverifică exact corelațiile pe care ele le protejează.</w:t>
      </w:r>
    </w:p>
    <w:p>
      <w:pPr>
        <w:pStyle w:val="Heading3"/>
      </w:pPr>
      <w:r>
        <w:t>7.4 Conturile 461 / 462 — coșul firmei</w:t>
      </w:r>
    </w:p>
    <w:p>
      <w:pPr>
        <w:jc w:val="both"/>
      </w:pPr>
      <w:r>
        <w:t xml:space="preserve">461 și 462 sunt printre primele conturi la care se uită </w:t>
      </w:r>
      <w:r>
        <w:rPr>
          <w:b/>
        </w:rPr>
        <w:t>și ANAF, și băncile</w:t>
      </w:r>
      <w:r>
        <w:t>. Sunt și</w:t>
      </w:r>
    </w:p>
    <w:p>
      <w:pPr>
        <w:jc w:val="both"/>
      </w:pPr>
      <w:r>
        <w:t>cele mai ușor de transformat în coș: sume decontate care n-au corespondent prin 401, 419</w:t>
      </w:r>
    </w:p>
    <w:p>
      <w:pPr>
        <w:jc w:val="both"/>
      </w:pPr>
      <w:r>
        <w:t>sau alt cont dedicat ajung acolo și rămân.</w:t>
      </w:r>
    </w:p>
    <w:p>
      <w:pPr>
        <w:jc w:val="both"/>
      </w:pPr>
      <w:r>
        <w:t>⚠️ Cazul concret: nu mai există sold pe 4551, dar asociatul continuă să ia bani din bancă</w:t>
      </w:r>
    </w:p>
    <w:p>
      <w:pPr>
        <w:jc w:val="both"/>
      </w:pPr>
      <w:r>
        <w:t>— iar sumele se pun pe 461. La control apare o creditare de societate inexistentă și bani</w:t>
      </w:r>
    </w:p>
    <w:p>
      <w:pPr>
        <w:jc w:val="both"/>
      </w:pPr>
      <w:r>
        <w:t>scoși fără temei.</w:t>
      </w:r>
    </w:p>
    <w:p>
      <w:pPr>
        <w:jc w:val="both"/>
      </w:pPr>
      <w:r>
        <w:rPr>
          <w:b/>
        </w:rPr>
        <w:t>Utilizări corecte:</w:t>
      </w:r>
    </w:p>
    <w:p>
      <w:pPr>
        <w:jc w:val="both"/>
      </w:pPr>
      <w:r>
        <w:t>Vânzarea unui mijloc fix se face prin 461, nu prin cont de client — cumpărătorul nu e</w:t>
      </w:r>
    </w:p>
    <w:p>
      <w:pPr>
        <w:jc w:val="both"/>
      </w:pPr>
      <w:r>
        <w:t>client pentru activitatea curentă:</w:t>
      </w:r>
    </w:p>
    <w:p>
      <w:pPr>
        <w:ind w:left="280"/>
      </w:pPr>
      <w:r>
        <w:rPr>
          <w:rFonts w:ascii="Consolas" w:hAnsi="Consolas"/>
          <w:sz w:val="18"/>
        </w:rPr>
        <w:t>461 = 7583        venit din active cedate</w:t>
        <w:br/>
        <w:t>461 = 4427        TVA colectată</w:t>
      </w:r>
    </w:p>
    <w:p>
      <w:pPr>
        <w:jc w:val="both"/>
      </w:pPr>
      <w:r>
        <w:t>Imputația către un salariat care a produs pagube — nu e client, deci nu 4111:</w:t>
      </w:r>
    </w:p>
    <w:p>
      <w:pPr>
        <w:ind w:left="280"/>
      </w:pPr>
      <w:r>
        <w:rPr>
          <w:rFonts w:ascii="Consolas" w:hAnsi="Consolas"/>
          <w:sz w:val="18"/>
        </w:rPr>
        <w:t>461 = 7588        826,45     venit din exploatare</w:t>
        <w:br/>
        <w:t>461 = 4427        173,55     TVA colectată</w:t>
      </w:r>
    </w:p>
    <w:p>
      <w:pPr>
        <w:jc w:val="both"/>
      </w:pPr>
      <w:r>
        <w:t>pentru o pagubă de 1.000 lei cu TVA (1.000 ÷ 1,21 = 826,45).</w:t>
      </w:r>
    </w:p>
    <w:p>
      <w:pPr>
        <w:jc w:val="both"/>
      </w:pPr>
      <w:r>
        <w:t xml:space="preserve">⚠️ Notița scria debitul ca </w:t>
      </w:r>
      <w:r>
        <w:rPr>
          <w:rFonts w:ascii="Consolas" w:hAnsi="Consolas"/>
          <w:color w:val="1F4E79"/>
          <w:sz w:val="19"/>
        </w:rPr>
        <w:t>121</w:t>
      </w:r>
      <w:r>
        <w:t xml:space="preserve">. Contul corect este </w:t>
      </w:r>
      <w:r>
        <w:rPr>
          <w:b/>
        </w:rPr>
        <w:t>461</w:t>
      </w:r>
      <w:r>
        <w:t>; sumele erau bune.</w:t>
      </w:r>
    </w:p>
    <w:p>
      <w:pPr>
        <w:jc w:val="both"/>
      </w:pPr>
      <w:r>
        <w:t>➕ 7588 se folosește când nu există un cont de venit asociat direct, cum e 707 pentru</w:t>
      </w:r>
    </w:p>
    <w:p>
      <w:pPr>
        <w:jc w:val="both"/>
      </w:pPr>
      <w:r>
        <w:t>marfă. Dacă bunul deteriorat a fost dedus, TVA se colectează.</w:t>
      </w:r>
    </w:p>
    <w:p>
      <w:pPr>
        <w:jc w:val="both"/>
      </w:pPr>
      <w:r>
        <w:t>❓ Imputația nu se poate face fără ca salariatul să fie informat și de acord — Codul</w:t>
      </w:r>
    </w:p>
    <w:p>
      <w:pPr>
        <w:jc w:val="both"/>
      </w:pPr>
      <w:r>
        <w:t>muncii. Notița menționează un plafon „la nivelul a 5 salarii medii", cu observația</w:t>
      </w:r>
    </w:p>
    <w:p>
      <w:pPr>
        <w:jc w:val="both"/>
      </w:pPr>
      <w:r>
        <w:t>formatorului „de verificat suma".</w:t>
      </w:r>
    </w:p>
    <w:p>
      <w:pPr>
        <w:pStyle w:val="Heading2"/>
      </w:pPr>
      <w:r>
        <w:t>8. Verificarea care încheie ședința</w:t>
      </w:r>
    </w:p>
    <w:p>
      <w:pPr>
        <w:jc w:val="both"/>
      </w:pPr>
      <w:r>
        <w:t>Regula generală, formulată de formator ca temă: **să verificăm activul și pasivul —</w:t>
      </w:r>
    </w:p>
    <w:p>
      <w:pPr>
        <w:jc w:val="both"/>
      </w:pPr>
      <w:r>
        <w:t>conturile care stau pe invers.** Un cont de activ cu sold creditor sau un cont de pasiv</w:t>
      </w:r>
    </w:p>
    <w:p>
      <w:pPr>
        <w:jc w:val="both"/>
      </w:pPr>
      <w:r>
        <w:t>cu sold debitor nu e o curiozitate de balanță; e o eroare care încă n-a fost căutată.</w:t>
      </w:r>
    </w:p>
    <w:p>
      <w:pPr>
        <w:jc w:val="both"/>
      </w:pPr>
      <w:r>
        <w:t>Conturile din ședința asta care se verifică așa: 455 (niciodată debitor), 461/462, 4482,</w:t>
      </w:r>
    </w:p>
    <w:p>
      <w:pPr>
        <w:jc w:val="both"/>
      </w:pPr>
      <w:r>
        <w:t>463 față de 121.</w:t>
      </w:r>
    </w:p>
    <w:p>
      <w:pPr>
        <w:jc w:val="both"/>
      </w:pPr>
      <w:r>
        <w:t>➕ Tema dată: identificarea în balanță a lucrurilor care pot fi rezolvate — pentru că, o</w:t>
      </w:r>
    </w:p>
    <w:p>
      <w:pPr>
        <w:jc w:val="both"/>
      </w:pPr>
      <w:r>
        <w:t>dată ce li se stabilește cursul, nu mai sunt erori.</w:t>
      </w:r>
    </w:p>
    <w:p>
      <w:pPr>
        <w:pStyle w:val="Heading2"/>
      </w:pPr>
      <w:r>
        <w:t>9. Ce e deja în sistem</w:t>
      </w:r>
    </w:p>
    <w:p>
      <w:pPr>
        <w:jc w:val="both"/>
      </w:pPr>
      <w:r>
        <w:t>Primul pas al revizuirii, înaintea oricărei linii de material nou: fiecare temă din</w:t>
      </w:r>
    </w:p>
    <w:p>
      <w:pPr>
        <w:jc w:val="both"/>
      </w:pPr>
      <w:r>
        <w:t>notițe se pune lângă fluxul, modulul sau corelația care o acoperă deja. Ce rămâne e</w:t>
      </w:r>
    </w:p>
    <w:p>
      <w:pPr>
        <w:jc w:val="both"/>
      </w:pPr>
      <w:r>
        <w:t xml:space="preserve">material nou; restul e </w:t>
      </w:r>
      <w:r>
        <w:rPr>
          <w:b/>
        </w:rPr>
        <w:t>adâncire</w:t>
      </w:r>
      <w:r>
        <w:t>, și se scrie ca adâncire — cu trimitere la ce</w:t>
      </w:r>
    </w:p>
    <w:p>
      <w:pPr>
        <w:jc w:val="both"/>
      </w:pPr>
      <w:r>
        <w:t>adâncește.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Tema din notițe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o acoperă deja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Taxare inversă internă, </w:t>
            </w:r>
            <w:r>
              <w:rPr>
                <w:rFonts w:ascii="Consolas" w:hAnsi="Consolas"/>
                <w:color w:val="1F4E79"/>
                <w:sz w:val="18"/>
              </w:rPr>
              <w:t>4426 = 4427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F-402, MOD_TAXARE_INVERSA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Taxare inversă intracomunitară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F-303, MOD_TAXARE_INVERSA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Codul de operațiune din nomenclatorul D394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F-203</w:t>
            </w:r>
            <w:r>
              <w:rPr>
                <w:sz w:val="18"/>
              </w:rPr>
              <w:t xml:space="preserve"> — cod 27 la clădiri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Închiderea lunară de TVA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F-405, MOD_INCHIDERE_TVA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Decontul de TVA ↔ soldul din balanță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C-29, MOD_INCHIDERE_LUNARA (blocul V4)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Sumă neidentificată din extras → 473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F-411, MOD_INTERMEDIAR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Viramente interne 581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F-501, MOD_INTERMEDIAR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Avansuri de trezorerie 542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F-502, MOD_DECONT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Reevaluarea lunară a valutei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F-107, MOD_CREDIT_VALUTA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Obiecte de inventar </w:t>
            </w:r>
            <w:r>
              <w:rPr>
                <w:rFonts w:ascii="Consolas" w:hAnsi="Consolas"/>
                <w:color w:val="1F4E79"/>
                <w:sz w:val="18"/>
              </w:rPr>
              <w:t>603 ↔ 303</w:t>
            </w:r>
            <w:r>
              <w:rPr>
                <w:sz w:val="18"/>
              </w:rPr>
              <w:t xml:space="preserve"> + 8035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F-305, F-802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Reduceri comerciale ulterioare </w:t>
            </w:r>
            <w:r>
              <w:rPr>
                <w:rFonts w:ascii="Consolas" w:hAnsi="Consolas"/>
                <w:color w:val="1F4E79"/>
                <w:sz w:val="18"/>
              </w:rPr>
              <w:t>609 / 709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F-409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Control analitic ↔ sintetic la imobilizări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F-214, C-15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Sold contrar naturii contului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C-23</w:t>
            </w:r>
          </w:p>
        </w:tc>
      </w:tr>
    </w:tbl>
    <w:p/>
    <w:p>
      <w:pPr>
        <w:jc w:val="both"/>
      </w:pPr>
      <w:r>
        <w:t xml:space="preserve">⚠️ Rândul cu </w:t>
      </w:r>
      <w:r>
        <w:rPr>
          <w:b/>
        </w:rPr>
        <w:t>codul D394</w:t>
      </w:r>
      <w:r>
        <w:t xml:space="preserve"> e cel care justifică tot tabelul. La prima revizuire a</w:t>
      </w:r>
    </w:p>
    <w:p>
      <w:pPr>
        <w:jc w:val="both"/>
      </w:pPr>
      <w:r>
        <w:t>notițelor ăstora, mecanismul „fără cod, declarația nu recunoaște operațiunea” a fost</w:t>
      </w:r>
    </w:p>
    <w:p>
      <w:pPr>
        <w:jc w:val="both"/>
      </w:pPr>
      <w:r>
        <w:t>scris ca material nou. Nu era: e pasul revelator al lui F-203, scris cu cinci</w:t>
      </w:r>
    </w:p>
    <w:p>
      <w:pPr>
        <w:jc w:val="both"/>
      </w:pPr>
      <w:r>
        <w:t>traininguri în urmă, cu exemplul codului 27 la clădiri. Duplicarea s-a descoperit abia</w:t>
      </w:r>
    </w:p>
    <w:p>
      <w:pPr>
        <w:jc w:val="both"/>
      </w:pPr>
      <w:r>
        <w:t>la comparația cu o a doua revizuire.</w:t>
      </w:r>
    </w:p>
    <w:p>
      <w:pPr>
        <w:jc w:val="both"/>
      </w:pPr>
      <w:r>
        <w:t xml:space="preserve">➕ Ce rămâne </w:t>
      </w:r>
      <w:r>
        <w:rPr>
          <w:b/>
        </w:rPr>
        <w:t>cu adevărat nou</w:t>
      </w:r>
      <w:r>
        <w:t xml:space="preserve"> după tabel: scontarea (5114, 667), liniile de credit</w:t>
      </w:r>
    </w:p>
    <w:p>
      <w:pPr>
        <w:jc w:val="both"/>
      </w:pPr>
      <w:r>
        <w:t>(5191), dobânzile pe 5186/5187, plafonul de sold al casei, tichetele ca stoc de</w:t>
      </w:r>
    </w:p>
    <w:p>
      <w:pPr>
        <w:jc w:val="both"/>
      </w:pPr>
      <w:r>
        <w:t>trezorerie (5328), perechile clasă 6 ↔ clasă 3, și verificarea analitic ↔ sintetic ca</w:t>
      </w:r>
    </w:p>
    <w:p>
      <w:pPr>
        <w:jc w:val="both"/>
      </w:pPr>
      <w:r>
        <w:t>procedură generală.</w:t>
      </w:r>
    </w:p>
    <w:p>
      <w:pPr>
        <w:pStyle w:val="Heading2"/>
      </w:pPr>
      <w:r>
        <w:t>10. Casa și plafoanele de numerar</w:t>
      </w:r>
    </w:p>
    <w:p>
      <w:pPr>
        <w:pStyle w:val="Heading3"/>
      </w:pPr>
      <w:r>
        <w:t>10.1 Plafonul soldului de casă</w:t>
      </w:r>
    </w:p>
    <w:p>
      <w:pPr>
        <w:jc w:val="both"/>
      </w:pPr>
      <w:r>
        <w:t xml:space="preserve">Soldul de casă nu poate depăși </w:t>
      </w:r>
      <w:r>
        <w:rPr>
          <w:b/>
        </w:rPr>
        <w:t>50.000 lei la sfârșitul zilei</w:t>
      </w:r>
      <w:r>
        <w:t>, pe fiecare punct de</w:t>
      </w:r>
    </w:p>
    <w:p>
      <w:pPr>
        <w:jc w:val="both"/>
      </w:pPr>
      <w:r>
        <w:t>lucru. Ce depășește se depune în cont.</w:t>
      </w:r>
    </w:p>
    <w:p>
      <w:pPr>
        <w:jc w:val="both"/>
      </w:pPr>
      <w:r>
        <w:t xml:space="preserve">➕ Istoric: soldul </w:t>
      </w:r>
      <w:r>
        <w:rPr>
          <w:b/>
        </w:rPr>
        <w:t>a fost</w:t>
      </w:r>
      <w:r>
        <w:t xml:space="preserve"> nelimitat, cu singura cerință ca banii să existe efectiv și</w:t>
      </w:r>
    </w:p>
    <w:p>
      <w:pPr>
        <w:jc w:val="both"/>
      </w:pPr>
      <w:r>
        <w:t>să poată fi arătați la control. Plafonul e o restricție relativ nouă, iar cine lucrează</w:t>
      </w:r>
    </w:p>
    <w:p>
      <w:pPr>
        <w:jc w:val="both"/>
      </w:pPr>
      <w:r>
        <w:t>după obiceiul vechi îl încalcă fără să știe.</w:t>
      </w:r>
    </w:p>
    <w:p>
      <w:pPr>
        <w:jc w:val="both"/>
      </w:pPr>
      <w:r>
        <w:t xml:space="preserve">❓ </w:t>
      </w:r>
      <w:r>
        <w:rPr>
          <w:b/>
        </w:rPr>
        <w:t>Per societate sau per casierie?</w:t>
      </w:r>
      <w:r>
        <w:t xml:space="preserve"> Notițele povestesc un client care, aflând de</w:t>
      </w:r>
    </w:p>
    <w:p>
      <w:pPr>
        <w:jc w:val="both"/>
      </w:pPr>
      <w:r>
        <w:t>plafon, „a mai făcut rost de o casierie cu 50.000 lei” — deci a înțeles că limita e per</w:t>
      </w:r>
    </w:p>
    <w:p>
      <w:pPr>
        <w:jc w:val="both"/>
      </w:pPr>
      <w:r>
        <w:t>casierie. Dacă e așa, orice societate poate multiplica plafonul deschizând puncte de</w:t>
      </w:r>
    </w:p>
    <w:p>
      <w:pPr>
        <w:jc w:val="both"/>
      </w:pPr>
      <w:r>
        <w:t>lucru, ceea ce ar goli restricția de sens. De confirmat cu formatorul care e textul exact</w:t>
      </w:r>
    </w:p>
    <w:p>
      <w:pPr>
        <w:jc w:val="both"/>
      </w:pPr>
      <w:r>
        <w:t>și dacă practica clientului rezistă la control — mai ales pentru un punct de lucru fără</w:t>
      </w:r>
    </w:p>
    <w:p>
      <w:pPr>
        <w:jc w:val="both"/>
      </w:pPr>
      <w:r>
        <w:t>activitate reală de încasări.</w:t>
      </w:r>
    </w:p>
    <w:p>
      <w:pPr>
        <w:jc w:val="both"/>
      </w:pPr>
      <w:r>
        <w:t xml:space="preserve">❓ </w:t>
      </w:r>
      <w:r>
        <w:rPr>
          <w:b/>
        </w:rPr>
        <w:t>Plafon separat la magazinele mari?</w:t>
      </w:r>
      <w:r>
        <w:t xml:space="preserve"> O a doua lectură a acelorași notițe indică un</w:t>
      </w:r>
    </w:p>
    <w:p>
      <w:pPr>
        <w:jc w:val="both"/>
      </w:pPr>
      <w:r>
        <w:t xml:space="preserve">plafon de </w:t>
      </w:r>
      <w:r>
        <w:rPr>
          <w:b/>
        </w:rPr>
        <w:t>500.000 lei</w:t>
      </w:r>
      <w:r>
        <w:t xml:space="preserve"> pentru magazinele de tip cash &amp; carry, supermagazine și</w:t>
      </w:r>
    </w:p>
    <w:p>
      <w:pPr>
        <w:jc w:val="both"/>
      </w:pPr>
      <w:r>
        <w:t>hipermagazine, în locul celui de 50.000. Cifra e plauzibilă — un hipermarket depășește</w:t>
      </w:r>
    </w:p>
    <w:p>
      <w:pPr>
        <w:jc w:val="both"/>
      </w:pPr>
      <w:r>
        <w:t>50.000 lei într-o oră de vârf, iar depunerea zilnică a excedentului ar fi impracticabilă —</w:t>
      </w:r>
    </w:p>
    <w:p>
      <w:pPr>
        <w:jc w:val="both"/>
      </w:pPr>
      <w:r>
        <w:t xml:space="preserve">dar </w:t>
      </w:r>
      <w:r>
        <w:rPr>
          <w:b/>
        </w:rPr>
        <w:t>nu era în notițele de la curs și n-am putut-o confirma pe textul legii</w:t>
      </w:r>
      <w:r>
        <w:t>. Rămâne</w:t>
      </w:r>
    </w:p>
    <w:p>
      <w:pPr>
        <w:jc w:val="both"/>
      </w:pPr>
      <w:r>
        <w:t>întrebare, nu afirmație: dacă se confirmă, C-38 are nevoie de un al doilea prag, după</w:t>
      </w:r>
    </w:p>
    <w:p>
      <w:pPr>
        <w:jc w:val="both"/>
      </w:pPr>
      <w:r>
        <w:t>tipul unității.</w:t>
      </w:r>
    </w:p>
    <w:p>
      <w:pPr>
        <w:pStyle w:val="Heading3"/>
      </w:pPr>
      <w:r>
        <w:t>10.2 Ce plăți sunt plafonate și ce plăți nu</w:t>
      </w:r>
    </w:p>
    <w:p>
      <w:pPr>
        <w:jc w:val="both"/>
      </w:pPr>
      <w:r>
        <w:rPr>
          <w:b/>
        </w:rPr>
        <w:t>Fără plafon</w:t>
      </w:r>
      <w:r>
        <w:t>, oricât de mare e suma:</w:t>
      </w:r>
    </w:p>
    <w:p>
      <w:pPr>
        <w:pStyle w:val="ListBullet"/>
      </w:pPr>
      <w:r>
        <w:t>salariile și alte drepturi de personal</w:t>
      </w:r>
    </w:p>
    <w:p>
      <w:pPr>
        <w:pStyle w:val="ListBullet"/>
      </w:pPr>
      <w:r>
        <w:t>plățile către bugetul statului și alte instituții publice</w:t>
      </w:r>
    </w:p>
    <w:p>
      <w:pPr>
        <w:jc w:val="both"/>
      </w:pPr>
      <w:r>
        <w:rPr>
          <w:b/>
        </w:rPr>
        <w:t>Cu plafon: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Operațiunea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Plafonul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Încasări de la o persoană juridică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5.000 lei / persoană / zi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Plăți către o persoană juridică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5.000 lei / persoană / zi, </w:t>
            </w:r>
            <w:r>
              <w:rPr>
                <w:b/>
                <w:sz w:val="18"/>
              </w:rPr>
              <w:t>dar maximum 10.000 lei/zi în total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Încasări și plăți față de o persoană fizică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10.000 lei / persoană / zi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Avansuri spre decontare (plăți din 542)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5.000 lei / persoană</w:t>
            </w:r>
          </w:p>
        </w:tc>
      </w:tr>
    </w:tbl>
    <w:p/>
    <w:p>
      <w:pPr>
        <w:jc w:val="both"/>
      </w:pPr>
      <w:r>
        <w:t>⚠️ Notița reține doar „5.000 la juridice, 10.000 la fizice”. Direcția e corectă, dar</w:t>
      </w:r>
    </w:p>
    <w:p>
      <w:pPr>
        <w:jc w:val="both"/>
      </w:pPr>
      <w:r>
        <w:t xml:space="preserve">plafonul pe persoană </w:t>
      </w:r>
      <w:r>
        <w:rPr>
          <w:b/>
        </w:rPr>
        <w:t>nu e singurul</w:t>
      </w:r>
      <w:r>
        <w:t>: la plățile către persoane juridice există și un</w:t>
      </w:r>
    </w:p>
    <w:p>
      <w:pPr>
        <w:jc w:val="both"/>
      </w:pPr>
      <w:r>
        <w:t>plafon TOTAL de 10.000 lei pe zi. Cinci furnizori × 5.000 lei într-o zi respectă primul</w:t>
      </w:r>
    </w:p>
    <w:p>
      <w:pPr>
        <w:jc w:val="both"/>
      </w:pPr>
      <w:r>
        <w:t>plafon și îl încalcă pe al doilea.</w:t>
      </w:r>
    </w:p>
    <w:p>
      <w:pPr>
        <w:jc w:val="both"/>
      </w:pPr>
      <w:r>
        <w:t>➕ Plafoanele și interdicțiile complete — inclusiv interdicția totală a operațiunilor în</w:t>
      </w:r>
    </w:p>
    <w:p>
      <w:pPr>
        <w:jc w:val="both"/>
      </w:pPr>
      <w:r>
        <w:t>numerar pe contul 455 — sunt verificate pe surse și consemnate separat. Aici rămâne doar</w:t>
      </w:r>
    </w:p>
    <w:p>
      <w:pPr>
        <w:jc w:val="both"/>
      </w:pPr>
      <w:r>
        <w:t>ce a adăugat trainingul ăsta: plafonul de sold și regula punctelor de lucru.</w:t>
      </w:r>
    </w:p>
    <w:p>
      <w:pPr>
        <w:pStyle w:val="Heading3"/>
      </w:pPr>
      <w:r>
        <w:t>10.3 Plăți fragmentate și contractul cu plata în rate</w:t>
      </w:r>
    </w:p>
    <w:p>
      <w:pPr>
        <w:jc w:val="both"/>
      </w:pPr>
      <w:r>
        <w:t xml:space="preserve">Fragmentarea unei plăți ca să încapă sub plafon e </w:t>
      </w:r>
      <w:r>
        <w:rPr>
          <w:b/>
        </w:rPr>
        <w:t>interzisă expres</w:t>
      </w:r>
      <w:r>
        <w:t>.</w:t>
      </w:r>
    </w:p>
    <w:p>
      <w:pPr>
        <w:jc w:val="both"/>
      </w:pPr>
      <w:r>
        <w:t xml:space="preserve">Există însă o cale legitimă: </w:t>
      </w:r>
      <w:r>
        <w:rPr>
          <w:b/>
        </w:rPr>
        <w:t>contractul cu plata în rate</w:t>
      </w:r>
      <w:r>
        <w:t>. Dacă există contract, cu</w:t>
      </w:r>
    </w:p>
    <w:p>
      <w:pPr>
        <w:jc w:val="both"/>
      </w:pPr>
      <w:r>
        <w:t>scadențar și date fixe, încasarea în tranșe nu mai e fragmentare — e executarea</w:t>
      </w:r>
    </w:p>
    <w:p>
      <w:pPr>
        <w:jc w:val="both"/>
      </w:pPr>
      <w:r>
        <w:t>contractului. Din 20.000 lei se poate încasa de la o persoană fizică toată suma, în ratele</w:t>
      </w:r>
    </w:p>
    <w:p>
      <w:pPr>
        <w:jc w:val="both"/>
      </w:pPr>
      <w:r>
        <w:t>prevăzute.</w:t>
      </w:r>
    </w:p>
    <w:p>
      <w:pPr>
        <w:jc w:val="both"/>
      </w:pPr>
      <w:r>
        <w:t xml:space="preserve">➕ Condiția nu e formalitatea contractului, ci </w:t>
      </w:r>
      <w:r>
        <w:rPr>
          <w:b/>
        </w:rPr>
        <w:t>respectarea lui</w:t>
      </w:r>
      <w:r>
        <w:t>: dacă ratele se încasează</w:t>
      </w:r>
    </w:p>
    <w:p>
      <w:pPr>
        <w:jc w:val="both"/>
      </w:pPr>
      <w:r>
        <w:t>la alte date sau în alte sume decât scrie în scadențar, apărarea cade.</w:t>
      </w:r>
    </w:p>
    <w:p>
      <w:pPr>
        <w:pStyle w:val="Heading2"/>
      </w:pPr>
      <w:r>
        <w:t>11. Verificarea analitic ↔ sintetic</w:t>
      </w:r>
    </w:p>
    <w:p>
      <w:pPr>
        <w:pStyle w:val="Heading3"/>
      </w:pPr>
      <w:r>
        <w:t>11.1 De ce se rupe</w:t>
      </w:r>
    </w:p>
    <w:p>
      <w:pPr>
        <w:jc w:val="both"/>
      </w:pPr>
      <w:r>
        <w:t xml:space="preserve">Programul te lasă să mai faci o operațiune </w:t>
      </w:r>
      <w:r>
        <w:rPr>
          <w:b/>
        </w:rPr>
        <w:t>după</w:t>
      </w:r>
      <w:r>
        <w:t xml:space="preserve"> ce ai dat închiderea de lună. Dacă nu</w:t>
      </w:r>
    </w:p>
    <w:p>
      <w:pPr>
        <w:jc w:val="both"/>
      </w:pPr>
      <w:r>
        <w:t>te întorci să refaci închiderea, apare o diferență între analitic și sintetic — care nu se</w:t>
      </w:r>
    </w:p>
    <w:p>
      <w:pPr>
        <w:jc w:val="both"/>
      </w:pPr>
      <w:r>
        <w:t>anunță singură.</w:t>
      </w:r>
    </w:p>
    <w:p>
      <w:pPr>
        <w:pStyle w:val="Heading3"/>
      </w:pPr>
      <w:r>
        <w:t>11.2 Conturile la care se rupe cel mai des</w:t>
      </w:r>
    </w:p>
    <w:p>
      <w:pPr>
        <w:jc w:val="both"/>
      </w:pPr>
      <w:r>
        <w:rPr>
          <w:b/>
        </w:rPr>
        <w:t>Banca.</w:t>
      </w:r>
      <w:r>
        <w:t xml:space="preserve"> Extrasul de cont trebuie să se potrivească cu balanța. Cazul tipic: jurnalul de</w:t>
      </w:r>
    </w:p>
    <w:p>
      <w:pPr>
        <w:jc w:val="both"/>
      </w:pPr>
      <w:r>
        <w:t>bancă dă cu extrasul, dar nu dă cu balanța — semn că diferența e între analitic și</w:t>
      </w:r>
    </w:p>
    <w:p>
      <w:pPr>
        <w:jc w:val="both"/>
      </w:pPr>
      <w:r>
        <w:t>sintetic, nu în operare.</w:t>
      </w:r>
    </w:p>
    <w:p>
      <w:pPr>
        <w:jc w:val="both"/>
      </w:pPr>
      <w:r>
        <w:rPr>
          <w:b/>
        </w:rPr>
        <w:t>Clienții și furnizorii.</w:t>
      </w:r>
      <w:r>
        <w:t xml:space="preserve"> Nu se lasă solduri nealocate pe 4111 sau 401: denaturează și</w:t>
      </w:r>
    </w:p>
    <w:p>
      <w:pPr>
        <w:jc w:val="both"/>
      </w:pPr>
      <w:r>
        <w:t>fișa partenerului, și corelația analitic ↔ sintetic.</w:t>
      </w:r>
    </w:p>
    <w:p>
      <w:pPr>
        <w:jc w:val="both"/>
      </w:pPr>
      <w:r>
        <w:t xml:space="preserve">➕ Regula formatorului, repetată: </w:t>
      </w:r>
      <w:r>
        <w:rPr>
          <w:b/>
        </w:rPr>
        <w:t>niciodată nu pleci fără analitic.</w:t>
      </w:r>
      <w:r>
        <w:t xml:space="preserve"> Chiar și acolo unde</w:t>
      </w:r>
    </w:p>
    <w:p>
      <w:pPr>
        <w:jc w:val="both"/>
      </w:pPr>
      <w:r>
        <w:t xml:space="preserve">pare inutil — 446 se ține pe </w:t>
      </w:r>
      <w:r>
        <w:rPr>
          <w:rFonts w:ascii="Consolas" w:hAnsi="Consolas"/>
          <w:color w:val="1F4E79"/>
          <w:sz w:val="19"/>
        </w:rPr>
        <w:t>446.1</w:t>
      </w:r>
      <w:r>
        <w:t xml:space="preserve"> de la bun început, nu pe sintetic, pentru că a doua</w:t>
      </w:r>
    </w:p>
    <w:p>
      <w:pPr>
        <w:jc w:val="both"/>
      </w:pPr>
      <w:r>
        <w:t>taxă apare întotdeauna, iar despărțirea retroactivă e mult mai scumpă decât analiticul</w:t>
      </w:r>
    </w:p>
    <w:p>
      <w:pPr>
        <w:jc w:val="both"/>
      </w:pPr>
      <w:r>
        <w:t>făcut din prima.</w:t>
      </w:r>
    </w:p>
    <w:p>
      <w:pPr>
        <w:pStyle w:val="Heading3"/>
      </w:pPr>
      <w:r>
        <w:t>11.3 Sumele nealocate și contul 473</w:t>
      </w:r>
    </w:p>
    <w:p>
      <w:pPr>
        <w:jc w:val="both"/>
      </w:pPr>
      <w:r>
        <w:t xml:space="preserve">Când o încasare nu se poate aloca înainte de închiderea lunii, se pune în </w:t>
      </w:r>
      <w:r>
        <w:rPr>
          <w:b/>
        </w:rPr>
        <w:t>473</w:t>
      </w:r>
      <w:r>
        <w:t>, cu</w:t>
      </w:r>
    </w:p>
    <w:p>
      <w:pPr>
        <w:jc w:val="both"/>
      </w:pPr>
      <w:r>
        <w:t>notiță despre proveniență:</w:t>
      </w:r>
    </w:p>
    <w:p>
      <w:pPr>
        <w:ind w:left="280"/>
      </w:pPr>
      <w:r>
        <w:rPr>
          <w:rFonts w:ascii="Consolas" w:hAnsi="Consolas"/>
          <w:sz w:val="18"/>
        </w:rPr>
        <w:t>473  = 4111       la închiderea lunii, dacă nu se știe alocarea</w:t>
        <w:br/>
        <w:t>4111 = 473        luna următoare, la stornare și alocare corectă</w:t>
      </w:r>
    </w:p>
    <w:p>
      <w:pPr>
        <w:jc w:val="both"/>
      </w:pPr>
      <w:r>
        <w:t xml:space="preserve">➕ Importantul nu e contul, e </w:t>
      </w:r>
      <w:r>
        <w:rPr>
          <w:b/>
        </w:rPr>
        <w:t>să fie într-un cont de care să-ți mai amintești</w:t>
      </w:r>
      <w:r>
        <w:t>. Nu e o</w:t>
      </w:r>
    </w:p>
    <w:p>
      <w:pPr>
        <w:jc w:val="both"/>
      </w:pPr>
      <w:r>
        <w:t>problemă să stornezi luna viitoare și să pui pe clientul corect. Problema e să ratezi</w:t>
      </w:r>
    </w:p>
    <w:p>
      <w:pPr>
        <w:jc w:val="both"/>
      </w:pPr>
      <w:r>
        <w:t>alocarea cu totul.</w:t>
      </w:r>
    </w:p>
    <w:p>
      <w:pPr>
        <w:pStyle w:val="Heading3"/>
      </w:pPr>
      <w:r>
        <w:t>11.4 Compensările 4091 ↔ 419</w:t>
      </w:r>
    </w:p>
    <w:p>
      <w:pPr>
        <w:jc w:val="both"/>
      </w:pPr>
      <w:r>
        <w:t>Notița cerea analiza. Cazul: același partener e și furnizor, și client. I-ai plătit un</w:t>
      </w:r>
    </w:p>
    <w:p>
      <w:pPr>
        <w:jc w:val="both"/>
      </w:pPr>
      <w:r>
        <w:t>avans (4091) și el ți-a plătit un avans (419). Tentația e să le stingi unul cu altul.</w:t>
      </w:r>
    </w:p>
    <w:p>
      <w:pPr>
        <w:jc w:val="both"/>
      </w:pPr>
      <w:r>
        <w:t>Se poate, dar cu două condiții pe care notița nu le spune:</w:t>
      </w:r>
    </w:p>
    <w:p>
      <w:pPr>
        <w:pStyle w:val="ListNumber"/>
      </w:pPr>
      <w:r>
        <w:rPr>
          <w:b/>
        </w:rPr>
        <w:t>Compensarea are nevoie de document</w:t>
      </w:r>
      <w:r>
        <w:t xml:space="preserve"> — acord scris între părți, nu decizie</w:t>
      </w:r>
    </w:p>
    <w:p>
      <w:pPr>
        <w:jc w:val="both"/>
      </w:pPr>
      <w:r>
        <w:t>unilaterală. Soldurile sunt față de aceeași persoană, dar din raporturi juridice</w:t>
      </w:r>
    </w:p>
    <w:p>
      <w:pPr>
        <w:jc w:val="both"/>
      </w:pPr>
      <w:r>
        <w:t>diferite;</w:t>
      </w:r>
    </w:p>
    <w:p>
      <w:pPr>
        <w:pStyle w:val="ListNumber"/>
      </w:pPr>
      <w:r>
        <w:rPr>
          <w:b/>
        </w:rPr>
        <w:t>TVA-ul nu se compensează odată cu avansurile.</w:t>
      </w:r>
      <w:r>
        <w:t xml:space="preserve"> La avansul plătit ai dedus TVA, la</w:t>
      </w:r>
    </w:p>
    <w:p>
      <w:pPr>
        <w:jc w:val="both"/>
      </w:pPr>
      <w:r>
        <w:t>cel încasat ai colectat. Regularizarea se face la facturile finale, prin stornarea</w:t>
      </w:r>
    </w:p>
    <w:p>
      <w:pPr>
        <w:jc w:val="both"/>
      </w:pPr>
      <w:r>
        <w:t>fiecărui avans în parte — nu prin compensare.</w:t>
      </w:r>
    </w:p>
    <w:p>
      <w:pPr>
        <w:jc w:val="both"/>
      </w:pPr>
      <w:r>
        <w:t>❓ Ce document folosește cabinetul pentru compensare, și dacă se aplică pragul de la care</w:t>
      </w:r>
    </w:p>
    <w:p>
      <w:pPr>
        <w:jc w:val="both"/>
      </w:pPr>
      <w:r>
        <w:t>compensarea trebuie făcută prin sistemul reglementat — de confirmat.</w:t>
      </w:r>
    </w:p>
    <w:p>
      <w:pPr>
        <w:pStyle w:val="Heading3"/>
      </w:pPr>
      <w:r>
        <w:t>11.5 Preluarea unei balanțe în cursul anului</w:t>
      </w:r>
    </w:p>
    <w:p>
      <w:pPr>
        <w:jc w:val="both"/>
      </w:pPr>
      <w:r>
        <w:t xml:space="preserve">⚠️ La preluarea unei societăți </w:t>
      </w:r>
      <w:r>
        <w:rPr>
          <w:b/>
        </w:rPr>
        <w:t>în cursul anului</w:t>
      </w:r>
      <w:r>
        <w:t xml:space="preserve"> nu se preiau soldurile, ci **totalul</w:t>
      </w:r>
    </w:p>
    <w:p>
      <w:pPr>
        <w:jc w:val="both"/>
      </w:pPr>
      <w:r>
        <w:t>sumelor** debitoare și creditoare.</w:t>
      </w:r>
    </w:p>
    <w:p>
      <w:pPr>
        <w:jc w:val="both"/>
      </w:pPr>
      <w:r>
        <w:t xml:space="preserve">Motivul: balanța trebuie să aibă </w:t>
      </w:r>
      <w:r>
        <w:rPr>
          <w:b/>
        </w:rPr>
        <w:t>continuitate</w:t>
      </w:r>
      <w:r>
        <w:t>. Cu soldurile preluate ca sold inițial,</w:t>
      </w:r>
    </w:p>
    <w:p>
      <w:pPr>
        <w:jc w:val="both"/>
      </w:pPr>
      <w:r>
        <w:t>rulajele anului pornesc de la zero în luna preluării — iar orice verificare care se face pe</w:t>
      </w:r>
    </w:p>
    <w:p>
      <w:pPr>
        <w:jc w:val="both"/>
      </w:pPr>
      <w:r>
        <w:t>rulaj, nu pe sold, devine falsă: corelația cu fișa de rol la TVA, verificarea CAM-ului ca</w:t>
      </w:r>
    </w:p>
    <w:p>
      <w:pPr>
        <w:jc w:val="both"/>
      </w:pPr>
      <w:r>
        <w:t>procent din brut, rulajul creditor al obligațiilor salariale.</w:t>
      </w:r>
    </w:p>
    <w:p>
      <w:pPr>
        <w:jc w:val="both"/>
      </w:pPr>
      <w:r>
        <w:t>➕ Distincția e chiar întrebarea pusă pentru sesiunea următoare:</w:t>
      </w:r>
    </w:p>
    <w:p>
      <w:pPr>
        <w:pStyle w:val="ListBullet"/>
      </w:pPr>
      <w:r>
        <w:rPr>
          <w:b/>
        </w:rPr>
        <w:t>soldul</w:t>
      </w:r>
      <w:r>
        <w:t xml:space="preserve"> — diferența, la un moment dat, între ce a intrat și ce a ieșit;</w:t>
      </w:r>
    </w:p>
    <w:p>
      <w:pPr>
        <w:pStyle w:val="ListBullet"/>
      </w:pPr>
      <w:r>
        <w:rPr>
          <w:b/>
        </w:rPr>
        <w:t>rulajul</w:t>
      </w:r>
      <w:r>
        <w:t xml:space="preserve"> — mișcarea unei perioade, pe fiecare sens;</w:t>
      </w:r>
    </w:p>
    <w:p>
      <w:pPr>
        <w:pStyle w:val="ListBullet"/>
      </w:pPr>
      <w:r>
        <w:rPr>
          <w:b/>
        </w:rPr>
        <w:t>totalul sumelor</w:t>
      </w:r>
      <w:r>
        <w:t xml:space="preserve"> — rulajul CUMULAT de la începutul anului, pe fiecare sens.</w:t>
      </w:r>
    </w:p>
    <w:p>
      <w:pPr>
        <w:jc w:val="both"/>
      </w:pPr>
      <w:r>
        <w:t>Numai al treilea permite reconstituirea anului întreg dintr-o balanță de mijloc de an.</w:t>
      </w:r>
    </w:p>
    <w:p>
      <w:pPr>
        <w:pStyle w:val="Heading3"/>
      </w:pPr>
      <w:r>
        <w:t>11.6 Cele trei verificări din softul formatorului</w:t>
      </w:r>
    </w:p>
    <w:p>
      <w:pPr>
        <w:jc w:val="both"/>
      </w:pPr>
      <w:r>
        <w:t>Formatorul a descris trei „căsuțe care se înverzesc” din programul lui — și ele sunt exact</w:t>
      </w:r>
    </w:p>
    <w:p>
      <w:pPr>
        <w:jc w:val="both"/>
      </w:pPr>
      <w:r>
        <w:t>modelul de verificare pe care îl urmărim: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Verificarea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compară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Când e verde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Decontul de TVA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4426 și 4427 din balanță vs. ce se duce în decont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ce se declară = ce e în balanță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Balanța pe furnizor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analiticul furnizorilor vs. sinteticul lui 401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analitic = sintetic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Contul 121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rulajul claselor 6 și 7 vs. 121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 și 7 s-au închis complet în 121</w:t>
            </w:r>
          </w:p>
        </w:tc>
      </w:tr>
    </w:tbl>
    <w:p/>
    <w:p>
      <w:pPr>
        <w:jc w:val="both"/>
      </w:pPr>
      <w:r>
        <w:t>A treia se vede cel mai bine la bilanț: dacă 6 și 7 nu s-au închis, cifrele nu se leagă.</w:t>
      </w:r>
    </w:p>
    <w:p>
      <w:pPr>
        <w:jc w:val="both"/>
      </w:pPr>
      <w:r>
        <w:t xml:space="preserve">➕ Notă legată, din aceeași secțiune: </w:t>
      </w:r>
      <w:r>
        <w:rPr>
          <w:b/>
        </w:rPr>
        <w:t>comisioanele bancare se înregistrează `627 = 5121`</w:t>
      </w:r>
    </w:p>
    <w:p>
      <w:pPr>
        <w:jc w:val="both"/>
      </w:pPr>
      <w:r>
        <w:t>chiar dacă linia din extras apare la încasări. Contul urmează natura operațiunii, nu poziția</w:t>
      </w:r>
    </w:p>
    <w:p>
      <w:pPr>
        <w:jc w:val="both"/>
      </w:pPr>
      <w:r>
        <w:t>ei în extras.</w:t>
      </w:r>
    </w:p>
    <w:p>
      <w:pPr>
        <w:pStyle w:val="Heading2"/>
      </w:pPr>
      <w:r>
        <w:t>12. Ce s-a cerut pentru sesiunile următoare</w:t>
      </w:r>
    </w:p>
    <w:p>
      <w:pPr>
        <w:jc w:val="both"/>
      </w:pPr>
      <w:r>
        <w:rPr>
          <w:b/>
        </w:rPr>
        <w:t>Lista corelațiilor de verificat pe balanță</w:t>
      </w:r>
      <w:r>
        <w:t>, cu precizarea formatorului că fiecare</w:t>
      </w:r>
    </w:p>
    <w:p>
      <w:pPr>
        <w:jc w:val="both"/>
      </w:pPr>
      <w:r>
        <w:t>balanță e unică — fiecare firmă are alt obiect de activitate. Se cer: conturile cele mai</w:t>
      </w:r>
    </w:p>
    <w:p>
      <w:pPr>
        <w:jc w:val="both"/>
      </w:pPr>
      <w:r>
        <w:t xml:space="preserve">comune, cele mai esențiale, și </w:t>
      </w:r>
      <w:r>
        <w:rPr>
          <w:b/>
        </w:rPr>
        <w:t>în ce ordine</w:t>
      </w:r>
      <w:r>
        <w:t xml:space="preserve"> se verifică.</w:t>
      </w:r>
    </w:p>
    <w:p>
      <w:pPr>
        <w:jc w:val="both"/>
      </w:pPr>
      <w:r>
        <w:rPr>
          <w:b/>
        </w:rPr>
        <w:t>O aplicație care rulează verificările analitic ↔ sintetic pe balanță</w:t>
      </w:r>
      <w:r>
        <w:t>, cerută explicit</w:t>
      </w:r>
    </w:p>
    <w:p>
      <w:pPr>
        <w:jc w:val="both"/>
      </w:pPr>
      <w:r>
        <w:t>sub titlul „Later”:</w:t>
      </w:r>
    </w:p>
    <w:p>
      <w:pPr>
        <w:pStyle w:val="ListBullet"/>
      </w:pPr>
      <w:r>
        <w:t>mijloacele fixe și celelalte corelații de analitic;</w:t>
      </w:r>
    </w:p>
    <w:p>
      <w:pPr>
        <w:pStyle w:val="ListBullet"/>
      </w:pPr>
      <w:r>
        <w:t>121 cu clasele 6 și 7;</w:t>
      </w:r>
    </w:p>
    <w:p>
      <w:pPr>
        <w:pStyle w:val="ListBullet"/>
      </w:pPr>
      <w:r>
        <w:t>TVA.</w:t>
      </w:r>
    </w:p>
    <w:p>
      <w:pPr>
        <w:jc w:val="both"/>
      </w:pPr>
      <w:r>
        <w:rPr>
          <w:b/>
        </w:rPr>
        <w:t>Întrebări pentru sesiunea următoare:</w:t>
      </w:r>
    </w:p>
    <w:p>
      <w:pPr>
        <w:pStyle w:val="ListNumber"/>
      </w:pPr>
      <w:r>
        <w:t>La preluarea unei societăți, ce se disecă analitic ↔ sintetic — mai multe exemple decât</w:t>
      </w:r>
    </w:p>
    <w:p>
      <w:pPr>
        <w:jc w:val="both"/>
      </w:pPr>
      <w:r>
        <w:t>4111 / 401 și 512x;</w:t>
      </w:r>
    </w:p>
    <w:p>
      <w:pPr>
        <w:pStyle w:val="ListNumber"/>
      </w:pPr>
      <w:r>
        <w:t>Diferența dintre sold, rulaje și total sume (răspuns propus la §9.5, de confirmat).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B — Checklist practic</w:t>
      </w:r>
    </w:p>
    <w:p>
      <w:pPr>
        <w:pStyle w:val="ListNumber"/>
      </w:pPr>
      <w:r>
        <w:rPr>
          <w:b/>
        </w:rPr>
        <w:t>Confuzia 5121 / 5311 / 5112.</w:t>
      </w:r>
      <w:r>
        <w:t xml:space="preserve"> 5121 = bancă, 5311 = casa în lei, 5112 = </w:t>
      </w:r>
      <w:r>
        <w:rPr>
          <w:i/>
        </w:rPr>
        <w:t>cecuri de încasat</w:t>
      </w:r>
      <w:r>
        <w:t xml:space="preserve">. Orice plată bancară — inclusiv prin ordin de plată — trece prin </w:t>
      </w:r>
      <w:r>
        <w:rPr>
          <w:b/>
        </w:rPr>
        <w:t>5121</w:t>
      </w:r>
      <w:r>
        <w:t>.</w:t>
      </w:r>
    </w:p>
    <w:p>
      <w:pPr>
        <w:pStyle w:val="ListNumber"/>
      </w:pPr>
      <w:r>
        <w:rPr>
          <w:b/>
        </w:rPr>
        <w:t>Impozitul pe profit calculat pe baza greșită.</w:t>
      </w:r>
      <w:r>
        <w:t xml:space="preserve"> Soldul creditor al lui 121 este </w:t>
      </w:r>
      <w:r>
        <w:rPr>
          <w:b/>
        </w:rPr>
        <w:t>baza</w:t>
      </w:r>
      <w:r>
        <w:t>, nu impozitul. Impozitul este 16% din el.</w:t>
      </w:r>
    </w:p>
    <w:p>
      <w:pPr>
        <w:pStyle w:val="ListNumber"/>
      </w:pPr>
      <w:r>
        <w:rPr>
          <w:b/>
        </w:rPr>
        <w:t>Sensul lui 4428.</w:t>
      </w:r>
      <w:r>
        <w:t xml:space="preserve"> Debitor la achiziții pe aviz (</w:t>
      </w:r>
      <w:r>
        <w:rPr>
          <w:rFonts w:ascii="Consolas" w:hAnsi="Consolas"/>
          <w:color w:val="1F4E79"/>
          <w:sz w:val="19"/>
        </w:rPr>
        <w:t>4428 = 408</w:t>
      </w:r>
      <w:r>
        <w:t>), creditor la livrări pe aviz (</w:t>
      </w:r>
      <w:r>
        <w:rPr>
          <w:rFonts w:ascii="Consolas" w:hAnsi="Consolas"/>
          <w:color w:val="1F4E79"/>
          <w:sz w:val="19"/>
        </w:rPr>
        <w:t>418 = 4428</w:t>
      </w:r>
      <w:r>
        <w:t>) și la mărfuri la preț cu amănuntul (</w:t>
      </w:r>
      <w:r>
        <w:rPr>
          <w:rFonts w:ascii="Consolas" w:hAnsi="Consolas"/>
          <w:color w:val="1F4E79"/>
          <w:sz w:val="19"/>
        </w:rPr>
        <w:t>371 = 4428</w:t>
      </w:r>
      <w:r>
        <w:t>). Fără analitice, softul le amestecă.</w:t>
      </w:r>
    </w:p>
    <w:p>
      <w:pPr>
        <w:pStyle w:val="ListNumber"/>
      </w:pPr>
      <w:r>
        <w:rPr>
          <w:b/>
        </w:rPr>
        <w:t>Uitarea pasului `408 = 4428`.</w:t>
      </w:r>
      <w:r>
        <w:t xml:space="preserve"> Fără el, ambele conturi rămân umflate reciproc la infinit.</w:t>
      </w:r>
    </w:p>
    <w:p>
      <w:pPr>
        <w:pStyle w:val="ListNumber"/>
      </w:pPr>
      <w:r>
        <w:rPr>
          <w:b/>
        </w:rPr>
        <w:t>Dublarea gestiunii prin 408.</w:t>
      </w:r>
      <w:r>
        <w:t xml:space="preserve"> Factura care nu menționează numărul avizului este cauza clasică. Se verifică împerecherea aviz–factură.</w:t>
      </w:r>
    </w:p>
    <w:p>
      <w:pPr>
        <w:pStyle w:val="ListNumber"/>
      </w:pPr>
      <w:r>
        <w:rPr>
          <w:b/>
        </w:rPr>
        <w:t>TVA neexigibilă calculată pe bază greșită</w:t>
      </w:r>
      <w:r>
        <w:t xml:space="preserve"> la mărfuri: se aplică la </w:t>
      </w:r>
      <w:r>
        <w:rPr>
          <w:b/>
        </w:rPr>
        <w:t>cost + adaos</w:t>
      </w:r>
      <w:r>
        <w:t>, nu la cost.</w:t>
      </w:r>
    </w:p>
    <w:p>
      <w:pPr>
        <w:pStyle w:val="ListNumber"/>
      </w:pPr>
      <w:r>
        <w:rPr>
          <w:b/>
        </w:rPr>
        <w:t>Ajustările pentru deprecierea stocurilor tratate ca deductibile.</w:t>
      </w:r>
      <w:r>
        <w:t xml:space="preserve"> Sunt nedeductibile; reluarea lor e neimpozabilă. Nu confunda cu ajustările pentru creanțe.</w:t>
      </w:r>
    </w:p>
    <w:p>
      <w:pPr>
        <w:pStyle w:val="ListNumber"/>
      </w:pPr>
      <w:r>
        <w:rPr>
          <w:b/>
        </w:rPr>
        <w:t>Uitarea scoaterii din evidență la vânzarea unui mijloc fix.</w:t>
      </w:r>
      <w:r>
        <w:t xml:space="preserve"> Facturarea (7583) nu e suficientă — trebuie și </w:t>
      </w:r>
      <w:r>
        <w:rPr>
          <w:rFonts w:ascii="Consolas" w:hAnsi="Consolas"/>
          <w:color w:val="1F4E79"/>
          <w:sz w:val="19"/>
        </w:rPr>
        <w:t>2813 = 213</w:t>
      </w:r>
      <w:r>
        <w:t xml:space="preserve"> plus </w:t>
      </w:r>
      <w:r>
        <w:rPr>
          <w:rFonts w:ascii="Consolas" w:hAnsi="Consolas"/>
          <w:color w:val="1F4E79"/>
          <w:sz w:val="19"/>
        </w:rPr>
        <w:t>6583 = 213</w:t>
      </w:r>
      <w:r>
        <w:t>.</w:t>
      </w:r>
    </w:p>
    <w:p>
      <w:pPr>
        <w:pStyle w:val="ListNumber"/>
      </w:pPr>
      <w:r>
        <w:rPr>
          <w:b/>
        </w:rPr>
        <w:t>Diferențe de curs pe avansuri.</w:t>
      </w:r>
      <w:r>
        <w:t xml:space="preserve"> Nu se calculează. Stornarea se face la cursul de la data avansului.</w:t>
      </w:r>
    </w:p>
    <w:p>
      <w:pPr>
        <w:pStyle w:val="ListNumber"/>
      </w:pPr>
      <w:r>
        <w:rPr>
          <w:b/>
        </w:rPr>
        <w:t>Încasarea în plus pusă pe 472.</w:t>
      </w:r>
      <w:r>
        <w:t xml:space="preserve"> Nu este venit — este avans (419) și cere colectare de TVA.</w:t>
      </w:r>
    </w:p>
    <w:p>
      <w:pPr>
        <w:pStyle w:val="ListNumber"/>
      </w:pPr>
      <w:r>
        <w:rPr>
          <w:b/>
        </w:rPr>
        <w:t>Conturi cu sold contrar naturii lor</w:t>
      </w:r>
      <w:r>
        <w:t xml:space="preserve"> (401 debitor, 4111 creditor) — aproape întotdeauna semn de eroare sau de avans neînregistrat corect.</w:t>
      </w:r>
    </w:p>
    <w:p>
      <w:pPr>
        <w:pStyle w:val="ListNumber"/>
      </w:pPr>
      <w:r>
        <w:rPr>
          <w:b/>
        </w:rPr>
        <w:t>473 și 581 cu sold la închidere.</w:t>
      </w:r>
      <w:r>
        <w:t xml:space="preserve"> Ambele trebuie golite; un sold acolo ascunde o operațiune neterminată.</w:t>
      </w:r>
    </w:p>
    <w:p>
      <w:pPr>
        <w:pStyle w:val="ListNumber"/>
      </w:pPr>
      <w:r>
        <w:rPr>
          <w:b/>
        </w:rPr>
        <w:t>Penalități contractuale nerealiste.</w:t>
      </w:r>
      <w:r>
        <w:t xml:space="preserve"> Dacă nu le facturezi, ANAF le poate impune ca venit. Vezi 9.3.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D — Rămase deschise</w:t>
      </w:r>
    </w:p>
    <w:p>
      <w:pPr>
        <w:jc w:val="both"/>
      </w:pPr>
      <w:r>
        <w:t xml:space="preserve">Ce e încă provizoriu în documentul ăsta. Lista nu e scrisă aici: vine din </w:t>
      </w:r>
      <w:r>
        <w:rPr>
          <w:rFonts w:ascii="Consolas" w:hAnsi="Consolas"/>
          <w:color w:val="1F4E79"/>
          <w:sz w:val="19"/>
        </w:rPr>
        <w:t>date/intrebari.py</w:t>
      </w:r>
      <w:r>
        <w:t>, aceeași sursă cu foaia „Întrebări deschise” a workbook-ului și cu lista trimisibilă formatorului.</w:t>
      </w:r>
    </w:p>
    <w:p>
      <w:pPr>
        <w:jc w:val="both"/>
      </w:pPr>
      <w:r>
        <w:rPr>
          <w:b/>
        </w:rPr>
        <w:t>❓ Programul de contabilitate extrage automat TVA-ul din diferența trecută pe 419 la o încasare mai mare decât factura, sau trebuie forțat manual?</w:t>
      </w:r>
    </w:p>
    <w:p>
      <w:pPr>
        <w:jc w:val="both"/>
      </w:pPr>
      <w:r>
        <w:rPr>
          <w:i/>
        </w:rPr>
        <w:t>Comportamentul softului la încasarea în plus · training 19.08.2026, punctul 3</w:t>
      </w:r>
    </w:p>
    <w:p>
      <w:pPr>
        <w:jc w:val="both"/>
      </w:pPr>
      <w:r>
        <w:t>Suma încasată în plus e TVA-inclusivă: din 5.000 lei ies 4.132,23 bază și 867,77 TVA. Dacă softul nu face extragerea, TVA-ul rămâne necolectat fără ca nimic să semnaleze.</w:t>
      </w:r>
    </w:p>
    <w:p>
      <w:pPr>
        <w:jc w:val="both"/>
      </w:pPr>
      <w:r>
        <w:rPr>
          <w:b/>
        </w:rPr>
        <w:t>Ce am presupus între timp:</w:t>
      </w:r>
      <w:r>
        <w:t xml:space="preserve"> Am scris fluxul cu extragerea explicită a TVA-ului, ca pas separat, tocmai ca să nu depindă de comportamentul softului.</w:t>
      </w:r>
    </w:p>
    <w:p>
      <w:pPr>
        <w:jc w:val="both"/>
      </w:pPr>
      <w:r>
        <w:rPr>
          <w:b/>
        </w:rPr>
        <w:t>❓ Sumele stabilite prin decizie de impunere pe TVA se înregistrează în 4423 cu analitic distinct, sau în 4481?</w:t>
      </w:r>
    </w:p>
    <w:p>
      <w:pPr>
        <w:jc w:val="both"/>
      </w:pPr>
      <w:r>
        <w:rPr>
          <w:i/>
        </w:rPr>
        <w:t>Acte de control — 4423 sau 4481 · training 26.08.2026, punctul 3</w:t>
      </w:r>
    </w:p>
    <w:p>
      <w:pPr>
        <w:jc w:val="both"/>
      </w:pPr>
      <w:r>
        <w:t>Cele două traininguri spun exact invers, la cinci zile distanță. 21.08: „se înregistrează în 4423 cu analitic distinct, tocmai ca să nu ajungă din greșeală în decontul lunii următoare”. 26.08: „nu mă duc prin 4423, pentru că denaturează rulajul curent — și mă duc prin 4481”.</w:t>
      </w:r>
    </w:p>
    <w:p>
      <w:pPr>
        <w:jc w:val="both"/>
      </w:pPr>
      <w:r>
        <w:rPr>
          <w:b/>
        </w:rPr>
        <w:t>Ce am presupus între timp:</w:t>
      </w:r>
      <w:r>
        <w:t xml:space="preserve"> Am adoptat varianta din 26.08, pentru că e singura care dă un motiv verificabil: un analitic separă EVIDENȚA, dar nu separă SOLDUL, iar decontul se compară pe soldul sintetic al lui 4423. F-421 e rescris pe 4481, cu ❓ pe el. Dacă formatorul confirmă varianta din 21.08, fluxul se întoarce — dar atunci trebuie explicat cum rămâne corelația decont ↔ balanță valabilă, pentru că azi nu văd cum.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jc w:val="both"/>
      </w:pPr>
      <w:r>
        <w:rPr>
          <w:b/>
        </w:rPr>
        <w:t>Acte normative citate</w:t>
      </w:r>
    </w:p>
    <w:p>
      <w:pPr>
        <w:pStyle w:val="ListBullet"/>
      </w:pPr>
      <w:r>
        <w:t>Legea 70/2015</w:t>
      </w:r>
    </w:p>
    <w:p>
      <w:pPr>
        <w:pStyle w:val="ListBullet"/>
      </w:pPr>
      <w:r>
        <w:t>Legea 296/2023</w:t>
      </w:r>
    </w:p>
    <w:p>
      <w:pPr>
        <w:pStyle w:val="ListBullet"/>
      </w:pPr>
      <w:r>
        <w:t>Codul fiscal</w:t>
      </w:r>
    </w:p>
    <w:p>
      <w:pPr>
        <w:pStyle w:val="ListBullet"/>
      </w:pPr>
      <w:r>
        <w:t>Codul muncii</w:t>
      </w:r>
    </w:p>
    <w:p>
      <w:pPr>
        <w:jc w:val="both"/>
      </w:pPr>
      <w:r>
        <w:rPr>
          <w:b/>
        </w:rPr>
        <w:t>Articole citate</w:t>
      </w:r>
    </w:p>
    <w:p>
      <w:pPr>
        <w:jc w:val="both"/>
      </w:pPr>
      <w:r>
        <w:t>art. 25 alin. (1), art. 319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G — Răspunsuri verificate pe surse publice</w:t>
      </w:r>
    </w:p>
    <w:p>
      <w:pPr>
        <w:jc w:val="both"/>
      </w:pPr>
      <w:r>
        <w:t xml:space="preserve">Întrebări care erau deschise și la care am găsit răspuns în lege. Fiecare poartă actul normativ pe care se sprijină și data la care a fost confruntat cu sursele. </w:t>
      </w:r>
      <w:r>
        <w:rPr>
          <w:b/>
        </w:rPr>
        <w:t>De confirmat cu formatorul</w:t>
      </w:r>
      <w:r>
        <w:t xml:space="preserve"> — nu pentru că răspunsul ar fi nesigur, ci pentru că practica poate adăuga ceva ce textul nu spune.</w:t>
      </w:r>
    </w:p>
    <w:p>
      <w:pPr>
        <w:jc w:val="both"/>
      </w:pPr>
      <w:r>
        <w:rPr>
          <w:b/>
        </w:rPr>
        <w:t>✅ Care sunt valorile exacte ale plafoanelor din Legea 70/2015 în forma modificată prin Legea 296/2023, la data operațiunii?</w:t>
      </w:r>
    </w:p>
    <w:p>
      <w:pPr>
        <w:jc w:val="both"/>
      </w:pPr>
      <w:r>
        <w:t xml:space="preserve">Între persoane juridice: </w:t>
      </w:r>
      <w:r>
        <w:rPr>
          <w:b/>
        </w:rPr>
        <w:t>5.000 lei/zi și de persoană</w:t>
      </w:r>
      <w:r>
        <w:t xml:space="preserve">. Magazine cash &amp; carry: 5.000 lei de persoană, dar maximum </w:t>
      </w:r>
      <w:r>
        <w:rPr>
          <w:b/>
        </w:rPr>
        <w:t>10.000 lei total pe zi</w:t>
      </w:r>
      <w:r>
        <w:t xml:space="preserve">; plăți către ele, maximum 10.000 lei/zi. Avansuri spre decontare: </w:t>
      </w:r>
      <w:r>
        <w:rPr>
          <w:b/>
        </w:rPr>
        <w:t>5.000 lei/zi</w:t>
      </w:r>
      <w:r>
        <w:t xml:space="preserve"> pentru fiecare persoană care a primit avansul. </w:t>
      </w:r>
      <w:r>
        <w:rPr>
          <w:b/>
        </w:rPr>
        <w:t>Fragmentarea e interzisă expres</w:t>
      </w:r>
      <w:r>
        <w:t xml:space="preserve"> pentru facturi peste 5.000 lei, respectiv 10.000 la cash &amp; carry. Legea 239/2025 </w:t>
      </w:r>
      <w:r>
        <w:rPr>
          <w:b/>
        </w:rPr>
        <w:t>nu a modificat plafoanele</w:t>
      </w:r>
      <w:r>
        <w:t xml:space="preserve"> de la 1.01.2026, dar a eliminat pragul de 50.000 lei de la care era obligatorie acceptarea cardului și a introdus obligația unui cont de plăți deschis în România.</w:t>
      </w:r>
    </w:p>
    <w:p>
      <w:pPr>
        <w:jc w:val="both"/>
      </w:pPr>
      <w:r>
        <w:rPr>
          <w:i/>
        </w:rPr>
        <w:t>Temei:</w:t>
      </w:r>
      <w:r>
        <w:t xml:space="preserve"> Legea 70/2015, art. 3 și art. 4, în forma modificată prin Legea 296/2023 și Legea 239/2025.</w:t>
      </w:r>
    </w:p>
    <w:p>
      <w:pPr>
        <w:jc w:val="both"/>
      </w:pPr>
      <w:r>
        <w:rPr>
          <w:i/>
        </w:rPr>
        <w:t>Plafoane de numerar și contul 455 · training 19.08.2026, punctul 1 · verificat 21.08.2026</w:t>
      </w:r>
    </w:p>
    <w:p>
      <w:pPr>
        <w:jc w:val="both"/>
      </w:pPr>
      <w:r>
        <w:rPr>
          <w:b/>
        </w:rPr>
        <w:t>✅ Care sunt exact operațiunile în numerar interzise pe contul 455 și care e temeiul legal?</w:t>
      </w:r>
    </w:p>
    <w:p>
      <w:pPr>
        <w:jc w:val="both"/>
      </w:pPr>
      <w:r>
        <w:t xml:space="preserve">Nu e un plafon, e o </w:t>
      </w:r>
      <w:r>
        <w:rPr>
          <w:b/>
        </w:rPr>
        <w:t>interdicție</w:t>
      </w:r>
      <w:r>
        <w:t xml:space="preserve">. Din </w:t>
      </w:r>
      <w:r>
        <w:rPr>
          <w:b/>
        </w:rPr>
        <w:t>11 noiembrie 2023</w:t>
      </w:r>
      <w:r>
        <w:t xml:space="preserve">, încasările și plățile reprezentând împrumuturi — indiferent de sumă — de la sau către asociați, acționari, administratori și alte persoane fizice </w:t>
      </w:r>
      <w:r>
        <w:rPr>
          <w:b/>
        </w:rPr>
        <w:t>nu se mai pot face în numerar</w:t>
      </w:r>
      <w:r>
        <w:t xml:space="preserve">, ci doar prin instrumente de plată fără numerar. Înalta Curte a stabilit că amenda de 25% se calculează la </w:t>
      </w:r>
      <w:r>
        <w:rPr>
          <w:b/>
        </w:rPr>
        <w:t>totalul operațiunilor</w:t>
      </w:r>
      <w:r>
        <w:t>, nu la depășirea unui plafon.</w:t>
      </w:r>
    </w:p>
    <w:p>
      <w:pPr>
        <w:jc w:val="both"/>
      </w:pPr>
      <w:r>
        <w:rPr>
          <w:i/>
        </w:rPr>
        <w:t>Temei:</w:t>
      </w:r>
      <w:r>
        <w:t xml:space="preserve"> Legea 70/2015 modificată prin Legea 296/2023, în vigoare din 11.11.2023. Cuantumul amenzii — jurisprudența ÎCCJ.</w:t>
      </w:r>
    </w:p>
    <w:p>
      <w:pPr>
        <w:jc w:val="both"/>
      </w:pPr>
      <w:r>
        <w:rPr>
          <w:i/>
        </w:rPr>
        <w:t>Plafoane de numerar și contul 455 · training 19.08.2026, punctul 2 · verificat 21.08.2026</w:t>
      </w:r>
    </w:p>
    <w:p>
      <w:pPr>
        <w:jc w:val="both"/>
      </w:pPr>
      <w:r>
        <w:rPr>
          <w:b/>
        </w:rPr>
        <w:t>✅ Care e plafonul legal al sumei care se poate imputa unui salariat pentru o pagubă produsă, și în ce ritm se poate reține din salariu?</w:t>
      </w:r>
    </w:p>
    <w:p>
      <w:pPr>
        <w:jc w:val="both"/>
      </w:pPr>
      <w:r>
        <w:t>Codul muncii art. 254: recuperarea prejudiciului prin NOTĂ DE CONSTATARE ȘI EVALUARE, de comun acord cu salariatul, nu poate depăși echivalentul a 5 SALARII MINIME brute pe economie. Peste acest plafon sau fără acordul salariatului, recuperarea se face numai prin instanță. Reținerea efectivă din salariu e limitată de art. 169: nu se reține fără titlu executoriu, iar reținerile cumulate nu depășesc o treime din salariul net. ⚠️ Corecție la notiță: legea spune „5 salarii MINIME”, nu „5 salarii medii”.</w:t>
      </w:r>
    </w:p>
    <w:p>
      <w:pPr>
        <w:jc w:val="both"/>
      </w:pPr>
      <w:r>
        <w:rPr>
          <w:i/>
        </w:rPr>
        <w:t>Temei:</w:t>
      </w:r>
      <w:r>
        <w:t xml:space="preserve"> Codul muncii art. 254 (plafonul de comun acord: 5 salarii minime brute) și art. 169 (reținerile din salariu).</w:t>
      </w:r>
    </w:p>
    <w:p>
      <w:pPr>
        <w:jc w:val="both"/>
      </w:pPr>
      <w:r>
        <w:rPr>
          <w:i/>
        </w:rPr>
        <w:t>Salarii — praguri și baze de calcul · training 26.08.2026, punctul 1 · verificat 01.09.2026</w:t>
      </w:r>
    </w:p>
    <w:p>
      <w:pPr>
        <w:jc w:val="both"/>
      </w:pPr>
      <w:r>
        <w:rPr>
          <w:b/>
        </w:rPr>
        <w:t>✅ Există un plafon de sold de casă separat, de 500.000 lei, pentru magazinele de tip cash &amp; carry, supermagazine și hipermagazine?</w:t>
      </w:r>
    </w:p>
    <w:p>
      <w:pPr>
        <w:jc w:val="both"/>
      </w:pPr>
      <w:r>
        <w:t>DA. Legea 70/2015 stabilește un sold de casă maxim de 50.000 lei la sfârșitul zilei, iar pentru magazinele de tip cash &amp; carry, supermagazine și hipermagazine plafonul e 500.000 lei la sfârșitul zilei. Excedentul se depune în conturi bancare în 2 zile lucrătoare. Deci C-38 are nevoie de un al doilea prag, după tipul unității — la un client cu magazin mare, pragul de 50.000 ar semnala greșit o depășire în fiecare zi.</w:t>
      </w:r>
    </w:p>
    <w:p>
      <w:pPr>
        <w:jc w:val="both"/>
      </w:pPr>
      <w:r>
        <w:rPr>
          <w:i/>
        </w:rPr>
        <w:t>Temei:</w:t>
      </w:r>
      <w:r>
        <w:t xml:space="preserve"> Legea 70/2015, art. 4^1 (plafonul soldului de casă; 500.000 lei pentru cash &amp; carry / supermagazine / hipermagazine).</w:t>
      </w:r>
    </w:p>
    <w:p>
      <w:pPr>
        <w:jc w:val="both"/>
      </w:pPr>
      <w:r>
        <w:rPr>
          <w:i/>
        </w:rPr>
        <w:t>Trezorerie — diferențe de curs și plafoane · training 28.08.2026, punctul 8 · verificat 01.09.2026</w:t>
      </w:r>
    </w:p>
    <w:p>
      <w:pPr>
        <w:jc w:val="both"/>
      </w:pPr>
      <w:r>
        <w:rPr>
          <w:b/>
        </w:rPr>
        <w:t>✅ Plafonul de 50.000 lei la soldul de casă e per societate sau per casierie / punct de lucru?</w:t>
      </w:r>
    </w:p>
    <w:p>
      <w:pPr>
        <w:jc w:val="both"/>
      </w:pPr>
      <w:r>
        <w:t>Plafonul de sold (50.000 lei, respectiv 500.000 la retail) vizează soldul de casă al PERSOANEI JURIDICE la sfârșitul zilei. Deschiderea unei a doua casierii „ca să mai am 50.000” nu ține la control: un punct de lucru fără activitate reală de încasări cade la testul substanței economice. ❓ Formularea literală „per entitate vs. per punct de lucru” din textul art. 4^1 rămâne de citit pe lege (sursele cu textul integral erau inaccesibile), dar practica clientului nu rezistă indiferent de formulare.</w:t>
      </w:r>
    </w:p>
    <w:p>
      <w:pPr>
        <w:jc w:val="both"/>
      </w:pPr>
      <w:r>
        <w:rPr>
          <w:i/>
        </w:rPr>
        <w:t>Temei:</w:t>
      </w:r>
      <w:r>
        <w:t xml:space="preserve"> Legea 70/2015, art. 4^1 — plafonul soldului de casă al persoanei juridice.</w:t>
      </w:r>
    </w:p>
    <w:p>
      <w:pPr>
        <w:jc w:val="both"/>
      </w:pPr>
      <w:r>
        <w:rPr>
          <w:i/>
        </w:rPr>
        <w:t>Trezorerie — diferențe de curs și plafoane · training 28.08.2026, punctul 2 · verificat 01.09.2026</w:t>
      </w:r>
    </w:p>
    <w:p>
      <w:pPr>
        <w:jc w:val="both"/>
      </w:pPr>
      <w:r>
        <w:rPr>
          <w:b/>
        </w:rPr>
        <w:t>✅ Ce documentație face diferența, la un control, între „rate contractuale” și fragmentarea unei plăți?</w:t>
      </w:r>
    </w:p>
    <w:p>
      <w:pPr>
        <w:jc w:val="both"/>
      </w:pPr>
      <w:r>
        <w:t>Legea 70/2015 interzice expres fragmentarea unei plăți pentru a ocoli plafonul. Un contract cu plata în rate, cu scadențar și date fixe, scoate operațiunea de sub acuzație — fiecare rată e o operațiune la data ei. Apărarea cade dacă ratele se încasează la alte date sau sume decât scadențarul. Nu există o cerință legală explicită de „dată certă” a contractului; ce contează la control e ca plata efectivă să urmeze fidel scadențarul încheiat ANTERIOR operațiunilor. Recomandat: contract scris, cu scadențar, datat înainte de prima rată.</w:t>
      </w:r>
    </w:p>
    <w:p>
      <w:pPr>
        <w:jc w:val="both"/>
      </w:pPr>
      <w:r>
        <w:rPr>
          <w:i/>
        </w:rPr>
        <w:t>Temei:</w:t>
      </w:r>
      <w:r>
        <w:t xml:space="preserve"> Legea 70/2015 (interdicția fragmentării); forma contractului — practică, fără cerință legală de dată certă.</w:t>
      </w:r>
    </w:p>
    <w:p>
      <w:pPr>
        <w:jc w:val="both"/>
      </w:pPr>
      <w:r>
        <w:rPr>
          <w:i/>
        </w:rPr>
        <w:t>Trezorerie — convenții de înregistrare · training 28.08.2026, punctul 6 · verificat 01.09.2026</w:t>
      </w:r>
    </w:p>
    <w:p>
      <w:pPr>
        <w:jc w:val="both"/>
      </w:pPr>
      <w:r>
        <w:rPr>
          <w:b/>
        </w:rPr>
        <w:t>✅ Ce document susține compensarea 4091 ↔ 419 la același partener, și de la ce prag trebuie făcută prin sistemul reglementat?</w:t>
      </w:r>
    </w:p>
    <w:p>
      <w:pPr>
        <w:jc w:val="both"/>
      </w:pPr>
      <w:r>
        <w:t>Compensarea creanțelor și datoriilor reciproce cu același partener se face pe formular de compensare, cu acord scris între părți. Pragul: pentru facturi peste 10.000 lei restante peste 30 de zile, compensarea se face OBLIGATORIU prin sistemul reglementat (IMI — Institutul de Management și Informatică), conform OUG 77/1999 și HG 685/1999. Sub 10.000 lei sau sub 30 de zile de la scadență, compensarea se face direct între client și furnizor, pe același formular, fără IMI. TVA-ul NU se compensează odată cu avansurile — regularizarea lui se face la facturile finale, prin stornarea fiecărui avans.</w:t>
      </w:r>
    </w:p>
    <w:p>
      <w:pPr>
        <w:jc w:val="both"/>
      </w:pPr>
      <w:r>
        <w:rPr>
          <w:i/>
        </w:rPr>
        <w:t>Temei:</w:t>
      </w:r>
      <w:r>
        <w:t xml:space="preserve"> OUG 77/1999 și HG 685/1999 (compensarea prin IMI peste 10.000 lei restanți peste 30 de zile).</w:t>
      </w:r>
    </w:p>
    <w:p>
      <w:pPr>
        <w:jc w:val="both"/>
      </w:pPr>
      <w:r>
        <w:rPr>
          <w:i/>
        </w:rPr>
        <w:t>Gestiuni, bonuri de consum și compensări · training 28.08.2026, punctul 4 · verificat 01.09.2026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Singurul document care nu vine dintr-o zi de training proprie: e partea din 19.08.2026 care nu adâncea niciun subiect existent.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