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Trezorerie: bancă, casă, efecte de încasat și avansuri</w:t>
      </w:r>
    </w:p>
    <w:p>
      <w:fldSimple w:instr="TOC \o &quot;1-2&quot; \h \z \u">
        <w:r>
          <w:t>Cuprinsul se generează la deschiderea în Word (Ctrl+A, apoi F9).</w:t>
        </w:r>
      </w:fldSimple>
    </w:p>
    <w:p>
      <w:pPr>
        <w:pStyle w:val="Heading3"/>
      </w:pPr>
      <w:r>
        <w:t>Sursă: training 28.08.2026 — stările prin care trec banii între „am dreptul la ei” și „sunt în cont”</w:t>
      </w:r>
    </w:p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Cum citești acest document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Marcaj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Semnificație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Notița originală era corectă — doar reformulată/completată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⚠️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Eroare în notița originală</w:t>
            </w:r>
            <w:r>
              <w:rPr>
                <w:sz w:val="18"/>
              </w:rPr>
              <w:t xml:space="preserve"> — corectată aici, cu explicație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➕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Completare (lucru care lipsea, dar era necesar ca raționamentul să stea în picioare)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❓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Rămas deschis — de clarificat cu formatorul (vezi Anexa D)</w:t>
            </w:r>
          </w:p>
        </w:tc>
      </w:tr>
    </w:tbl>
    <w:p/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1. Investiții pe termen scurt: acțiuni și obligațiuni</w:t>
      </w:r>
    </w:p>
    <w:p>
      <w:pPr>
        <w:pStyle w:val="Heading3"/>
      </w:pPr>
      <w:r>
        <w:t>1.1 Achiziția de acțiuni</w:t>
      </w:r>
    </w:p>
    <w:p>
      <w:pPr>
        <w:ind w:left="280"/>
      </w:pPr>
      <w:r>
        <w:rPr>
          <w:rFonts w:ascii="Consolas" w:hAnsi="Consolas"/>
          <w:sz w:val="18"/>
        </w:rPr>
        <w:t>501 = 5121        achiziția acțiunilor</w:t>
      </w:r>
    </w:p>
    <w:p>
      <w:pPr>
        <w:jc w:val="both"/>
      </w:pPr>
      <w:r>
        <w:t xml:space="preserve">➕ </w:t>
      </w:r>
      <w:r>
        <w:rPr>
          <w:b/>
        </w:rPr>
        <w:t>Analitic pe fiecare societate emitentă.</w:t>
      </w:r>
      <w:r>
        <w:t xml:space="preserve"> Dacă firma deține participații la mai</w:t>
      </w:r>
    </w:p>
    <w:p>
      <w:pPr>
        <w:jc w:val="both"/>
      </w:pPr>
      <w:r>
        <w:t>multe societăți, un 501 sintetic nu poate spune care participație s-a apreciat și care</w:t>
      </w:r>
    </w:p>
    <w:p>
      <w:pPr>
        <w:jc w:val="both"/>
      </w:pPr>
      <w:r>
        <w:t>s-a depreciat — iar ajustările pentru pierdere de valoare (591) se constituie pe fiecare</w:t>
      </w:r>
    </w:p>
    <w:p>
      <w:pPr>
        <w:jc w:val="both"/>
      </w:pPr>
      <w:r>
        <w:t>titlu, nu pe total.</w:t>
      </w:r>
    </w:p>
    <w:p>
      <w:pPr>
        <w:jc w:val="both"/>
      </w:pPr>
      <w:r>
        <w:t xml:space="preserve">⚠️ </w:t>
      </w:r>
      <w:r>
        <w:rPr>
          <w:b/>
        </w:rPr>
        <w:t>501 nu e contul oricăror acțiuni.</w:t>
      </w:r>
      <w:r>
        <w:t xml:space="preserve"> El e în clasa 50 — investiții pe termen</w:t>
      </w:r>
    </w:p>
    <w:p>
      <w:pPr>
        <w:jc w:val="both"/>
      </w:pPr>
      <w:r>
        <w:rPr>
          <w:b/>
        </w:rPr>
        <w:t>SCURT</w:t>
      </w:r>
      <w:r>
        <w:t>, cumpărate ca plasament, cu intenția de a fi revândute. Participația deținută</w:t>
      </w:r>
    </w:p>
    <w:p>
      <w:pPr>
        <w:jc w:val="both"/>
      </w:pPr>
      <w:r>
        <w:rPr>
          <w:b/>
        </w:rPr>
        <w:t>durabil</w:t>
      </w:r>
      <w:r>
        <w:t xml:space="preserve"> merge în clasa 26 — imobilizări financiare: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Termen scurt (plasament)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Termen lung (participație)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501 Acțiuni deținute la entitățile afiliate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261 Acțiuni deținute la entitățile afiliate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506 Obligațiuni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263 Acțiuni deținute la entități controlate în comun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508 Alte investiții pe termen scurt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265 Alte titluri imobilizate</w:t>
            </w:r>
          </w:p>
        </w:tc>
      </w:tr>
    </w:tbl>
    <w:p/>
    <w:p>
      <w:pPr>
        <w:jc w:val="both"/>
      </w:pPr>
      <w:r>
        <w:t xml:space="preserve">Capcana e că </w:t>
      </w:r>
      <w:r>
        <w:rPr>
          <w:b/>
        </w:rPr>
        <w:t>501 și 261 poartă aceeași denumire în plan</w:t>
      </w:r>
      <w:r>
        <w:t>. Ce le deosebește nu e</w:t>
      </w:r>
    </w:p>
    <w:p>
      <w:pPr>
        <w:jc w:val="both"/>
      </w:pPr>
      <w:r>
        <w:t>emitentul, e INTENȚIA de deținere — iar intenția nu se citește din denumire, se</w:t>
      </w:r>
    </w:p>
    <w:p>
      <w:pPr>
        <w:jc w:val="both"/>
      </w:pPr>
      <w:r>
        <w:t>declară la achiziție. Cine ia contul după nume înregistrează o participație de zece ani</w:t>
      </w:r>
    </w:p>
    <w:p>
      <w:pPr>
        <w:jc w:val="both"/>
      </w:pPr>
      <w:r>
        <w:t>ca plasament pe termen scurt.</w:t>
      </w:r>
    </w:p>
    <w:p>
      <w:pPr>
        <w:pStyle w:val="Heading3"/>
      </w:pPr>
      <w:r>
        <w:t>1.2 Acțiuni vs. obligațiuni — ce cumperi de fapt</w:t>
      </w:r>
    </w:p>
    <w:p>
      <w:pPr>
        <w:jc w:val="both"/>
      </w:pPr>
      <w:r>
        <w:t>Notița cerea detalierea distincției. E mai mult decât o diferență de cont: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Acțiuni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Obligațiuni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Ce sunt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Drept de </w:t>
            </w:r>
            <w:r>
              <w:rPr>
                <w:b/>
                <w:sz w:val="18"/>
              </w:rPr>
              <w:t>proprietate</w:t>
            </w:r>
            <w:r>
              <w:rPr>
                <w:sz w:val="18"/>
              </w:rPr>
              <w:t xml:space="preserve"> — deții o parte din societate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Împrumut</w:t>
            </w:r>
            <w:r>
              <w:rPr>
                <w:sz w:val="18"/>
              </w:rPr>
              <w:t xml:space="preserve"> — ai dat bani societății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Ce primești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Dividende, dacă se repartizează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Dobândă, contractual, indiferent de profit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Riscul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Dacă societatea pierde, valoarea scade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Dacă societatea pierde, dobânda se datorează oricum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La lichidare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Ultimul la împărțire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Înaintea acționarilor — ești creditor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Contul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501 (afiliate) / 508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506</w:t>
            </w:r>
          </w:p>
        </w:tc>
      </w:tr>
    </w:tbl>
    <w:p/>
    <w:p>
      <w:pPr>
        <w:jc w:val="both"/>
      </w:pPr>
      <w:r>
        <w:t xml:space="preserve">În SA sunt </w:t>
      </w:r>
      <w:r>
        <w:rPr>
          <w:b/>
        </w:rPr>
        <w:t>acțiuni</w:t>
      </w:r>
      <w:r>
        <w:t xml:space="preserve">, în SRL sunt </w:t>
      </w:r>
      <w:r>
        <w:rPr>
          <w:b/>
        </w:rPr>
        <w:t>părți sociale</w:t>
      </w:r>
      <w:r>
        <w:t xml:space="preserve"> — nu e o diferență de vocabular:</w:t>
      </w:r>
    </w:p>
    <w:p>
      <w:pPr>
        <w:jc w:val="both"/>
      </w:pPr>
      <w:r>
        <w:t>părțile sociale nu se tranzacționează liber, cesiunea lor cere hotărâre și mențiune la</w:t>
      </w:r>
    </w:p>
    <w:p>
      <w:pPr>
        <w:jc w:val="both"/>
      </w:pPr>
      <w:r>
        <w:t>ONRC.</w:t>
      </w:r>
    </w:p>
    <w:p>
      <w:pPr>
        <w:jc w:val="both"/>
      </w:pPr>
      <w:r>
        <w:t>Obligațiunea se cumpără la un preț și se răscumpără la altul; diferența, plus dobânda și</w:t>
      </w:r>
    </w:p>
    <w:p>
      <w:pPr>
        <w:jc w:val="both"/>
      </w:pPr>
      <w:r>
        <w:t>eventualele diferențe de curs dacă e în valută, formează rezultatul operațiunii.</w:t>
      </w:r>
    </w:p>
    <w:p>
      <w:pPr>
        <w:jc w:val="both"/>
      </w:pPr>
      <w:r>
        <w:t xml:space="preserve">⚠️ </w:t>
      </w:r>
      <w:r>
        <w:rPr>
          <w:b/>
        </w:rPr>
        <w:t>506 și 505 nu sunt același lucru</w:t>
      </w:r>
      <w:r>
        <w:t>, deși ambele au „obligațiuni” în nume: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Cont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Ce ține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Cine e emitentul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506</w:t>
            </w:r>
            <w:r>
              <w:rPr>
                <w:sz w:val="18"/>
              </w:rPr>
              <w:t xml:space="preserve"> Obligațiuni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plasamentul TĂU în obligațiunile altcuiva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altă societate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505</w:t>
            </w:r>
            <w:r>
              <w:rPr>
                <w:sz w:val="18"/>
              </w:rPr>
              <w:t xml:space="preserve"> Obligațiuni emise și răscumpărate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propriile tale obligațiuni, pe care le-ai răscumpărat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tu</w:t>
            </w:r>
          </w:p>
        </w:tc>
      </w:tr>
    </w:tbl>
    <w:p/>
    <w:p>
      <w:pPr>
        <w:jc w:val="both"/>
      </w:pPr>
      <w:r>
        <w:t>505 e oglinda lui 161 „Împrumuturi din emisiuni de obligațiuni”: ai împrumutat de la</w:t>
      </w:r>
    </w:p>
    <w:p>
      <w:pPr>
        <w:jc w:val="both"/>
      </w:pPr>
      <w:r>
        <w:t>piață, apoi ți-ai cumpărat înapoi titlurile. 506 e un activ de plasament; 505 e stingerea</w:t>
      </w:r>
    </w:p>
    <w:p>
      <w:pPr>
        <w:jc w:val="both"/>
      </w:pPr>
      <w:r>
        <w:t>unei datorii proprii.</w:t>
      </w:r>
    </w:p>
    <w:p>
      <w:pPr>
        <w:jc w:val="both"/>
      </w:pPr>
      <w:r>
        <w:t>De aceea și ajustările pentru pierdere de valoare au conturi separate pe fiecare fel de</w:t>
      </w:r>
    </w:p>
    <w:p>
      <w:pPr>
        <w:jc w:val="both"/>
      </w:pPr>
      <w:r>
        <w:t>titlu — 591 pentru acțiuni la afiliate, 595 pentru obligațiuni emise și răscumpărate, 596</w:t>
      </w:r>
    </w:p>
    <w:p>
      <w:pPr>
        <w:jc w:val="both"/>
      </w:pPr>
      <w:r>
        <w:t>pentru obligațiuni, 598 pentru alte investiții.</w:t>
      </w:r>
    </w:p>
    <w:p>
      <w:pPr>
        <w:jc w:val="both"/>
      </w:pPr>
      <w:r>
        <w:t>❓ Monografia completă a răscumpărării (preț de emisiune vs. preț de răscumpărare, primă</w:t>
      </w:r>
    </w:p>
    <w:p>
      <w:pPr>
        <w:jc w:val="both"/>
      </w:pPr>
      <w:r>
        <w:t>sau discount, curs valutar dacă emisiunea e în valută) nu era în notițe — formatorul a</w:t>
      </w:r>
    </w:p>
    <w:p>
      <w:pPr>
        <w:jc w:val="both"/>
      </w:pPr>
      <w:r>
        <w:t>marcat subiectul „de detaliat” fără cifre. Rămâne de cerut.</w:t>
      </w:r>
    </w:p>
    <w:p>
      <w:pPr>
        <w:pStyle w:val="Heading2"/>
      </w:pPr>
      <w:r>
        <w:t>2. Efecte de încasat: CEC-uri și bilete la ordin</w:t>
      </w:r>
    </w:p>
    <w:p>
      <w:pPr>
        <w:pStyle w:val="Heading3"/>
      </w:pPr>
      <w:r>
        <w:t>2.1 De la factură la încasare</w:t>
      </w:r>
    </w:p>
    <w:p>
      <w:pPr>
        <w:jc w:val="both"/>
      </w:pPr>
      <w:r>
        <w:t>Punctul de plecare — o vânzare de marfă de 10.000 lei fără TVA:</w:t>
      </w:r>
    </w:p>
    <w:p>
      <w:pPr>
        <w:ind w:left="280"/>
      </w:pPr>
      <w:r>
        <w:rPr>
          <w:rFonts w:ascii="Consolas" w:hAnsi="Consolas"/>
          <w:sz w:val="18"/>
        </w:rPr>
        <w:t>4111 = 707        10.000     venitul din vânzare</w:t>
        <w:br/>
        <w:t>4111 = 4427        2.100     TVA colectată, 21%</w:t>
      </w:r>
    </w:p>
    <w:p>
      <w:pPr>
        <w:jc w:val="both"/>
      </w:pPr>
      <w:r>
        <w:t xml:space="preserve">Clientul plătește cu un </w:t>
      </w:r>
      <w:r>
        <w:rPr>
          <w:b/>
        </w:rPr>
        <w:t>CEC de 12.100 lei</w:t>
      </w:r>
      <w:r>
        <w:t>:</w:t>
      </w:r>
    </w:p>
    <w:p>
      <w:pPr>
        <w:ind w:left="280"/>
      </w:pPr>
      <w:r>
        <w:rPr>
          <w:rFonts w:ascii="Consolas" w:hAnsi="Consolas"/>
          <w:sz w:val="18"/>
        </w:rPr>
        <w:t>5112 = 4111       12.100     efectul primit stinge creanța</w:t>
        <w:br/>
        <w:t>5121 = 5112       12.100     încasarea efectivă, la scadență</w:t>
      </w:r>
    </w:p>
    <w:p>
      <w:pPr>
        <w:jc w:val="both"/>
      </w:pPr>
      <w:r>
        <w:t>➕ Aici e nuanța care contează: **primul pas stinge clientul, dar banii nu sunt încă în</w:t>
      </w:r>
    </w:p>
    <w:p>
      <w:pPr>
        <w:jc w:val="both"/>
      </w:pPr>
      <w:r>
        <w:t>bancă.** Efectele se emit la termen — rar se emite factura azi și se primește CEC-ul tot</w:t>
      </w:r>
    </w:p>
    <w:p>
      <w:pPr>
        <w:jc w:val="both"/>
      </w:pPr>
      <w:r>
        <w:t>azi. Între cele două înregistrări, 4111 arată zero, iar riscul de neîncasare stă pe 5112.</w:t>
      </w:r>
    </w:p>
    <w:p>
      <w:pPr>
        <w:jc w:val="both"/>
      </w:pPr>
      <w:r>
        <w:t>Cine se uită doar la soldul clienților crede că a încasat.</w:t>
      </w:r>
    </w:p>
    <w:p>
      <w:pPr>
        <w:jc w:val="both"/>
      </w:pPr>
      <w:r>
        <w:rPr>
          <w:b/>
        </w:rPr>
        <w:t>Biletul la ordin</w:t>
      </w:r>
      <w:r>
        <w:t xml:space="preserve"> funcționează identic, pe contul 5113:</w:t>
      </w:r>
    </w:p>
    <w:p>
      <w:pPr>
        <w:ind w:left="280"/>
      </w:pPr>
      <w:r>
        <w:rPr>
          <w:rFonts w:ascii="Consolas" w:hAnsi="Consolas"/>
          <w:sz w:val="18"/>
        </w:rPr>
        <w:t>5113 = 4111       12.100     la primirea biletului</w:t>
        <w:br/>
        <w:t>5121 = 5113       12.100     la încasare</w:t>
      </w:r>
    </w:p>
    <w:p>
      <w:pPr>
        <w:pStyle w:val="Heading3"/>
      </w:pPr>
      <w:r>
        <w:t>2.2 Scontarea biletului la ordin</w:t>
      </w:r>
    </w:p>
    <w:p>
      <w:pPr>
        <w:jc w:val="both"/>
      </w:pPr>
      <w:r>
        <w:t xml:space="preserve">Dacă biletul are scadență peste două luni, banca poate să-l </w:t>
      </w:r>
      <w:r>
        <w:rPr>
          <w:b/>
        </w:rPr>
        <w:t>sconteze</w:t>
      </w:r>
      <w:r>
        <w:t>: îți dă acum un</w:t>
      </w:r>
    </w:p>
    <w:p>
      <w:pPr>
        <w:jc w:val="both"/>
      </w:pPr>
      <w:r>
        <w:t>procent din valoare, și încasează ea efectul la scadență.</w:t>
      </w:r>
    </w:p>
    <w:p>
      <w:pPr>
        <w:jc w:val="both"/>
      </w:pPr>
      <w:r>
        <w:t xml:space="preserve">Pe biletul de </w:t>
      </w:r>
      <w:r>
        <w:rPr>
          <w:b/>
        </w:rPr>
        <w:t>12.100 lei</w:t>
      </w:r>
      <w:r>
        <w:t>, cu 80% avansat de bancă:</w:t>
      </w:r>
    </w:p>
    <w:p>
      <w:pPr>
        <w:ind w:left="280"/>
      </w:pPr>
      <w:r>
        <w:rPr>
          <w:rFonts w:ascii="Consolas" w:hAnsi="Consolas"/>
          <w:sz w:val="18"/>
        </w:rPr>
        <w:t>5114 = 5113       12.100     efectul pleacă spre scontare</w:t>
        <w:br/>
        <w:t>5121 = 5114        9.680     lichiditatea primită, 80%</w:t>
        <w:br/>
        <w:t>667  = 5114        2.420     costul scontării, restul de 20%</w:t>
      </w:r>
    </w:p>
    <w:p>
      <w:pPr>
        <w:jc w:val="both"/>
      </w:pPr>
      <w:r>
        <w:t xml:space="preserve">⚠️ Notița scria contul de cheltuială ca </w:t>
      </w:r>
      <w:r>
        <w:rPr>
          <w:rFonts w:ascii="Consolas" w:hAnsi="Consolas"/>
          <w:color w:val="1F4E79"/>
          <w:sz w:val="19"/>
        </w:rPr>
        <w:t>6067</w:t>
      </w:r>
      <w:r>
        <w:t>. Contul corect este **667 — „Cheltuieli</w:t>
      </w:r>
    </w:p>
    <w:p>
      <w:pPr>
        <w:jc w:val="both"/>
      </w:pPr>
      <w:r>
        <w:t>privind sconturile acordate”</w:t>
      </w:r>
      <w:r>
        <w:rPr>
          <w:b/>
        </w:rPr>
        <w:t xml:space="preserve">, cu perechea de venit </w:t>
      </w:r>
      <w:r>
        <w:t>767 — „Venituri din sconturi</w:t>
      </w:r>
    </w:p>
    <w:p>
      <w:pPr>
        <w:jc w:val="both"/>
      </w:pPr>
      <w:r>
        <w:t>obținute”** (scontul pe care îl obții tu, când plătești un furnizor înainte de scadență).</w:t>
      </w:r>
    </w:p>
    <w:p>
      <w:pPr>
        <w:jc w:val="both"/>
      </w:pPr>
      <w:r>
        <w:rPr>
          <w:rFonts w:ascii="Consolas" w:hAnsi="Consolas"/>
          <w:color w:val="1F4E79"/>
          <w:sz w:val="19"/>
        </w:rPr>
        <w:t>6067</w:t>
      </w:r>
      <w:r>
        <w:t xml:space="preserve"> nu există în planul de conturi.</w:t>
      </w:r>
    </w:p>
    <w:p>
      <w:pPr>
        <w:jc w:val="both"/>
      </w:pPr>
      <w:r>
        <w:t xml:space="preserve">⚠️ Notița pornea de la „bilet la ordine de </w:t>
      </w:r>
      <w:r>
        <w:rPr>
          <w:b/>
        </w:rPr>
        <w:t>12k</w:t>
      </w:r>
      <w:r>
        <w:t xml:space="preserve"> lei”, dar calcula 80% = 9,68k. 80% din</w:t>
      </w:r>
    </w:p>
    <w:p>
      <w:pPr>
        <w:jc w:val="both"/>
      </w:pPr>
      <w:r>
        <w:t xml:space="preserve">12.000 dă 9.600. Baza corectă e </w:t>
      </w:r>
      <w:r>
        <w:rPr>
          <w:b/>
        </w:rPr>
        <w:t>12.100</w:t>
      </w:r>
      <w:r>
        <w:t xml:space="preserve"> — suma cu TVA din exemplul de mai sus.</w:t>
      </w:r>
    </w:p>
    <w:p>
      <w:pPr>
        <w:jc w:val="both"/>
      </w:pPr>
      <w:r>
        <w:t>➕ De ce trece prin 5114 și nu direct din 5113: mutarea spune că efectul **a plecat din</w:t>
      </w:r>
    </w:p>
    <w:p>
      <w:pPr>
        <w:jc w:val="both"/>
      </w:pPr>
      <w:r>
        <w:t>mâna ta**. Cât timp stă pe 5113, îl mai ai. Din 5114 se închide în trei direcții — bani,</w:t>
      </w:r>
    </w:p>
    <w:p>
      <w:pPr>
        <w:jc w:val="both"/>
      </w:pPr>
      <w:r>
        <w:t>cost, și zero rest — iar dacă rămâne sold acolo, scontarea nu s-a finalizat.</w:t>
      </w:r>
    </w:p>
    <w:p>
      <w:pPr>
        <w:jc w:val="both"/>
      </w:pPr>
      <w:r>
        <w:t>Contul 5114 se închide exact: 9.680 + 2.420 = 12.100.</w:t>
      </w:r>
    </w:p>
    <w:p>
      <w:pPr>
        <w:pStyle w:val="Heading3"/>
      </w:pPr>
      <w:r>
        <w:t>2.3 Când merită scontarea și când nu</w:t>
      </w:r>
    </w:p>
    <w:p>
      <w:pPr>
        <w:jc w:val="both"/>
      </w:pPr>
      <w:r>
        <w:t xml:space="preserve">Scontarea e un instrument </w:t>
      </w:r>
      <w:r>
        <w:rPr>
          <w:b/>
        </w:rPr>
        <w:t>scump</w:t>
      </w:r>
      <w:r>
        <w:t xml:space="preserve"> — cei 20% nu sunt dobândă la an, sunt costul</w:t>
      </w:r>
    </w:p>
    <w:p>
      <w:pPr>
        <w:jc w:val="both"/>
      </w:pPr>
      <w:r>
        <w:t>operațiunii. Banca o acordă societăților cu activitate îndelungată și clienți la fel; nu</w:t>
      </w:r>
    </w:p>
    <w:p>
      <w:pPr>
        <w:jc w:val="both"/>
      </w:pPr>
      <w:r>
        <w:t>e o facilitate pentru firme mici.</w:t>
      </w:r>
    </w:p>
    <w:p>
      <w:pPr>
        <w:jc w:val="both"/>
      </w:pPr>
      <w:r>
        <w:t xml:space="preserve">Rostul ei e altul decât costul: </w:t>
      </w:r>
      <w:r>
        <w:rPr>
          <w:b/>
        </w:rPr>
        <w:t>contabilitatea românească e de angajamente.</w:t>
      </w:r>
      <w:r>
        <w:t xml:space="preserve"> Faci</w:t>
      </w:r>
    </w:p>
    <w:p>
      <w:pPr>
        <w:jc w:val="both"/>
      </w:pPr>
      <w:r>
        <w:t>factura, nu o încasezi, și statul cere TVA-ul și impozitul oricum. Societatea se poate</w:t>
      </w:r>
    </w:p>
    <w:p>
      <w:pPr>
        <w:jc w:val="both"/>
      </w:pPr>
      <w:r>
        <w:t>bloca având vânzări. Scontarea aduce lichiditatea mai devreme decât încasarea, iar analiza</w:t>
      </w:r>
    </w:p>
    <w:p>
      <w:pPr>
        <w:jc w:val="both"/>
      </w:pPr>
      <w:r>
        <w:t>băncii e mult mai rapidă decât la un credit clasic — pentru că se uită la efectul din</w:t>
      </w:r>
    </w:p>
    <w:p>
      <w:pPr>
        <w:jc w:val="both"/>
      </w:pPr>
      <w:r>
        <w:t>mână, nu la indicatorii tăi de profit.</w:t>
      </w:r>
    </w:p>
    <w:p>
      <w:pPr>
        <w:pStyle w:val="Heading2"/>
      </w:pPr>
      <w:r>
        <w:t>3. Conturile la bănci</w:t>
      </w:r>
    </w:p>
    <w:p>
      <w:pPr>
        <w:pStyle w:val="Heading3"/>
      </w:pPr>
      <w:r>
        <w:t>3.1 Conturile în valută și reevaluarea lunară</w:t>
      </w:r>
    </w:p>
    <w:p>
      <w:pPr>
        <w:jc w:val="both"/>
      </w:pPr>
      <w:r>
        <w:t xml:space="preserve">Conturile în valută se </w:t>
      </w:r>
      <w:r>
        <w:rPr>
          <w:b/>
        </w:rPr>
        <w:t>reevaluează la cursul BNR de la sfârșitul lunii</w:t>
      </w:r>
      <w:r>
        <w:t>. Diferența</w:t>
      </w:r>
    </w:p>
    <w:p>
      <w:pPr>
        <w:jc w:val="both"/>
      </w:pPr>
      <w:r>
        <w:t>rezultată se înregistrează, nu se lasă în așteptare.</w:t>
      </w:r>
    </w:p>
    <w:p>
      <w:pPr>
        <w:jc w:val="both"/>
      </w:pPr>
      <w:r>
        <w:t>La decontări în valută apar diferențe pentru că datoria s-a înregistrat la **cursul</w:t>
      </w:r>
    </w:p>
    <w:p>
      <w:pPr>
        <w:jc w:val="both"/>
      </w:pPr>
      <w:r>
        <w:t>istoric** — cel de la data recepției — și se plătește la cursul zilei: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Situația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Curs istoric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Curs la decontare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Rezultatul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Datorie de 100 EUR către furnizor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5,00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6,00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cheltuială</w:t>
            </w:r>
            <w:r>
              <w:rPr>
                <w:sz w:val="18"/>
              </w:rPr>
              <w:t xml:space="preserve"> — plătești mai mulți lei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Datorie de 100 EUR către furnizor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5,00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4,00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venit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Creanță de 100 EUR de la client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5,00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6,00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venit</w:t>
            </w:r>
            <w:r>
              <w:rPr>
                <w:sz w:val="18"/>
              </w:rPr>
              <w:t xml:space="preserve"> — încasezi mai mulți lei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Creanță de 100 EUR de la client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5,00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4,00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cheltuială</w:t>
            </w:r>
          </w:p>
        </w:tc>
      </w:tr>
    </w:tbl>
    <w:p/>
    <w:p>
      <w:pPr>
        <w:jc w:val="both"/>
      </w:pPr>
      <w:r>
        <w:t>⚠️ Notița inversa sensurile la creanțe: scria „100 eur de la furnizor; istoric era 5, și</w:t>
      </w:r>
    </w:p>
    <w:p>
      <w:pPr>
        <w:jc w:val="both"/>
      </w:pPr>
      <w:r>
        <w:t>la încasare era 6, avem un venit” — dar „de la furnizor” cu „încasare” amestecă cele două</w:t>
      </w:r>
    </w:p>
    <w:p>
      <w:pPr>
        <w:jc w:val="both"/>
      </w:pPr>
      <w:r>
        <w:t>cazuri. Regula unică, din care ies toate patru: **la curs mai mare, elementul de ACTIV</w:t>
      </w:r>
    </w:p>
    <w:p>
      <w:pPr>
        <w:jc w:val="both"/>
      </w:pPr>
      <w:r>
        <w:t>aduce venit, iar elementul de PASIV aduce cheltuială.**</w:t>
      </w:r>
    </w:p>
    <w:p>
      <w:pPr>
        <w:pStyle w:val="Heading3"/>
      </w:pPr>
      <w:r>
        <w:t>3.2 Diferențele de curs: 665/765 sau 668/768?</w:t>
      </w:r>
    </w:p>
    <w:p>
      <w:pPr>
        <w:jc w:val="both"/>
      </w:pPr>
      <w:r>
        <w:t xml:space="preserve">❓ </w:t>
      </w:r>
      <w:r>
        <w:rPr>
          <w:b/>
        </w:rPr>
        <w:t>Divergență de rezolvat cu formatorul.</w:t>
      </w:r>
      <w:r>
        <w:t xml:space="preserve"> Notițele spun:</w:t>
      </w:r>
    </w:p>
    <w:p>
      <w:pPr>
        <w:ind w:left="360"/>
      </w:pPr>
      <w:r>
        <w:rPr>
          <w:i/>
          <w:color w:val="5D6E7E"/>
        </w:rPr>
        <w:t>diferențele de curs valutar, curent, le înregistrăm prin 665 / 765</w:t>
      </w:r>
    </w:p>
    <w:p>
      <w:pPr>
        <w:ind w:left="360"/>
      </w:pPr>
      <w:r>
        <w:rPr>
          <w:i/>
          <w:color w:val="5D6E7E"/>
        </w:rPr>
        <w:t>diferența de reevaluare la sfârșitul lunii (financiare): 668 / 768</w:t>
      </w:r>
    </w:p>
    <w:p>
      <w:pPr>
        <w:jc w:val="both"/>
      </w:pPr>
      <w:r>
        <w:t xml:space="preserve">Funcțiunea contului </w:t>
      </w:r>
      <w:r>
        <w:rPr>
          <w:b/>
        </w:rPr>
        <w:t>665</w:t>
      </w:r>
      <w:r>
        <w:t xml:space="preserve"> din OMFP 1802/2014 include explicit diferențele nefavorabile</w:t>
      </w:r>
    </w:p>
    <w:p>
      <w:pPr>
        <w:jc w:val="both"/>
      </w:pPr>
      <w:r>
        <w:t>rezultate *„la sfârșitul lunii/exercițiului financiar, din evaluarea disponibilităților</w:t>
      </w:r>
    </w:p>
    <w:p>
      <w:pPr>
        <w:jc w:val="both"/>
      </w:pPr>
      <w:r>
        <w:t>bancare și a numerarului în valută”*. Adică reevaluarea de lună e chiar în funcțiunea lui</w:t>
      </w:r>
    </w:p>
    <w:p>
      <w:pPr>
        <w:jc w:val="both"/>
      </w:pPr>
      <w:r>
        <w:t>665/765, nu în afara ei.</w:t>
      </w:r>
    </w:p>
    <w:p>
      <w:pPr>
        <w:jc w:val="both"/>
      </w:pPr>
      <w:r>
        <w:t xml:space="preserve">Conturile </w:t>
      </w:r>
      <w:r>
        <w:rPr>
          <w:b/>
        </w:rPr>
        <w:t>668/768</w:t>
      </w:r>
      <w:r>
        <w:t xml:space="preserve"> („alte cheltuieli / venituri financiare”) au un rost diferit:</w:t>
      </w:r>
    </w:p>
    <w:p>
      <w:pPr>
        <w:jc w:val="both"/>
      </w:pPr>
      <w:r>
        <w:t>creanțele și datoriile **exprimate în lei, dar decontabile în funcție de cursul unei</w:t>
      </w:r>
    </w:p>
    <w:p>
      <w:pPr>
        <w:jc w:val="both"/>
      </w:pPr>
      <w:r>
        <w:t>valute** — alt caz decât valuta propriu-zisă.</w:t>
      </w:r>
    </w:p>
    <w:p>
      <w:pPr>
        <w:jc w:val="both"/>
      </w:pPr>
      <w:r>
        <w:rPr>
          <w:b/>
        </w:rPr>
        <w:t>Scopul formatorului e însă corect</w:t>
      </w:r>
      <w:r>
        <w:t xml:space="preserve"> și merită păstrat: el vrea ca diferența din</w:t>
      </w:r>
    </w:p>
    <w:p>
      <w:pPr>
        <w:jc w:val="both"/>
      </w:pPr>
      <w:r>
        <w:t>reevaluare să se vadă separat de cea de la decontare, altfel nu poți explica soldul.</w:t>
      </w:r>
    </w:p>
    <w:p>
      <w:pPr>
        <w:jc w:val="both"/>
      </w:pPr>
      <w:r>
        <w:t xml:space="preserve">Rezultatul se obține cu </w:t>
      </w:r>
      <w:r>
        <w:rPr>
          <w:b/>
        </w:rPr>
        <w:t>analitic pe 665/765</w:t>
      </w:r>
      <w:r>
        <w:t>, nu cu alt sintetic:</w:t>
      </w:r>
    </w:p>
    <w:p>
      <w:pPr>
        <w:ind w:left="280"/>
      </w:pPr>
      <w:r>
        <w:rPr>
          <w:rFonts w:ascii="Consolas" w:hAnsi="Consolas"/>
          <w:sz w:val="18"/>
        </w:rPr>
        <w:t>665.DEC / 765.DEC     diferențe la decontare</w:t>
        <w:br/>
        <w:t>665.REV / 765.REV     diferențe din reevaluarea de sfârșit de lună</w:t>
      </w:r>
    </w:p>
    <w:p>
      <w:pPr>
        <w:jc w:val="both"/>
      </w:pPr>
      <w:r>
        <w:t>Așa rămân ambele în „diferențe de curs valutar” la raportare, dar se separă acolo unde</w:t>
      </w:r>
    </w:p>
    <w:p>
      <w:pPr>
        <w:jc w:val="both"/>
      </w:pPr>
      <w:r>
        <w:t>contează — la explicat.</w:t>
      </w:r>
    </w:p>
    <w:p>
      <w:pPr>
        <w:jc w:val="both"/>
      </w:pPr>
      <w:r>
        <w:t>Am păstrat 665/765 pentru ambele situații, cu analitic. Dacă formatorul confirmă varianta</w:t>
      </w:r>
    </w:p>
    <w:p>
      <w:pPr>
        <w:jc w:val="both"/>
      </w:pPr>
      <w:r>
        <w:t>cu 668/768, se schimbă — dar atunci trebuie explicat cum se raportează diferențele de</w:t>
      </w:r>
    </w:p>
    <w:p>
      <w:pPr>
        <w:jc w:val="both"/>
      </w:pPr>
      <w:r>
        <w:t>curs care nu mai sunt în contul de diferențe de curs.</w:t>
      </w:r>
    </w:p>
    <w:p>
      <w:pPr>
        <w:pStyle w:val="Heading3"/>
      </w:pPr>
      <w:r>
        <w:t>3.3 Dobânzi de plătit și de încasat</w:t>
      </w:r>
    </w:p>
    <w:p>
      <w:pPr>
        <w:jc w:val="both"/>
      </w:pPr>
      <w:r>
        <w:rPr>
          <w:b/>
        </w:rPr>
        <w:t>Dobânda la credit, când e FIXĂ pe toată durata</w:t>
      </w:r>
      <w:r>
        <w:t>, se cunoaște din scadențar de la</w:t>
      </w:r>
    </w:p>
    <w:p>
      <w:pPr>
        <w:jc w:val="both"/>
      </w:pPr>
      <w:r>
        <w:t>început, deci se recunoaște în avans:</w:t>
      </w:r>
    </w:p>
    <w:p>
      <w:pPr>
        <w:ind w:left="280"/>
      </w:pPr>
      <w:r>
        <w:rPr>
          <w:rFonts w:ascii="Consolas" w:hAnsi="Consolas"/>
          <w:sz w:val="18"/>
        </w:rPr>
        <w:t>471  = 5186        dobânda totală din scadențar, ca cheltuială în avans</w:t>
        <w:br/>
        <w:t>5186 = 5121        la fiecare plată</w:t>
        <w:br/>
        <w:t>666  = 471         eșalonat, lună de lună</w:t>
      </w:r>
    </w:p>
    <w:p>
      <w:pPr>
        <w:jc w:val="both"/>
      </w:pPr>
      <w:r>
        <w:rPr>
          <w:b/>
        </w:rPr>
        <w:t>Dobânda VARIABILĂ</w:t>
      </w:r>
      <w:r>
        <w:t>, calculată de bancă la sold, nu se poate anticipa — deci nu are ce</w:t>
      </w:r>
    </w:p>
    <w:p>
      <w:pPr>
        <w:jc w:val="both"/>
      </w:pPr>
      <w:r>
        <w:t>căuta în 471:</w:t>
      </w:r>
    </w:p>
    <w:p>
      <w:pPr>
        <w:ind w:left="280"/>
      </w:pPr>
      <w:r>
        <w:rPr>
          <w:rFonts w:ascii="Consolas" w:hAnsi="Consolas"/>
          <w:sz w:val="18"/>
        </w:rPr>
        <w:t>5186 = 5121        la plată</w:t>
        <w:br/>
        <w:t>666  = 5186        recunoașterea cheltuielii</w:t>
      </w:r>
    </w:p>
    <w:p>
      <w:pPr>
        <w:jc w:val="both"/>
      </w:pPr>
      <w:r>
        <w:t xml:space="preserve">sau, mai scurt, </w:t>
      </w:r>
      <w:r>
        <w:rPr>
          <w:rFonts w:ascii="Consolas" w:hAnsi="Consolas"/>
          <w:color w:val="1F4E79"/>
          <w:sz w:val="19"/>
        </w:rPr>
        <w:t>666 = 5121</w:t>
      </w:r>
      <w:r>
        <w:t xml:space="preserve"> direct.</w:t>
      </w:r>
    </w:p>
    <w:p>
      <w:pPr>
        <w:jc w:val="both"/>
      </w:pPr>
      <w:r>
        <w:t>➕ Distincția nu e de stil. 471 înseamnă „știu suma și știu perioada”. La dobândă</w:t>
      </w:r>
    </w:p>
    <w:p>
      <w:pPr>
        <w:jc w:val="both"/>
      </w:pPr>
      <w:r>
        <w:t>variabilă nu știi nici una, nici alta, iar o sumă pusă acolo se dovedește greșită la prima</w:t>
      </w:r>
    </w:p>
    <w:p>
      <w:pPr>
        <w:jc w:val="both"/>
      </w:pPr>
      <w:r>
        <w:t>schimbare de indice.</w:t>
      </w:r>
    </w:p>
    <w:p>
      <w:pPr>
        <w:jc w:val="both"/>
      </w:pPr>
      <w:r>
        <w:rPr>
          <w:b/>
        </w:rPr>
        <w:t>Dobânzile de încasat</w:t>
      </w:r>
      <w:r>
        <w:t xml:space="preserve"> merg în oglindă, prin 5187 (cont de </w:t>
      </w:r>
      <w:r>
        <w:rPr>
          <w:b/>
        </w:rPr>
        <w:t>activ</w:t>
      </w:r>
      <w:r>
        <w:t>):</w:t>
      </w:r>
    </w:p>
    <w:p>
      <w:pPr>
        <w:ind w:left="280"/>
      </w:pPr>
      <w:r>
        <w:rPr>
          <w:rFonts w:ascii="Consolas" w:hAnsi="Consolas"/>
          <w:sz w:val="18"/>
        </w:rPr>
        <w:t>5187 = 472         creanța și venitul amânat</w:t>
        <w:br/>
        <w:t>472  = 766         recunoașterea venitului</w:t>
        <w:br/>
        <w:t>5121 = 5187        încasarea</w:t>
      </w:r>
    </w:p>
    <w:p>
      <w:pPr>
        <w:jc w:val="both"/>
      </w:pPr>
      <w:r>
        <w:t xml:space="preserve">➕ Notițele insistă că primele două se fac </w:t>
      </w:r>
      <w:r>
        <w:rPr>
          <w:b/>
        </w:rPr>
        <w:t>concomitent</w:t>
      </w:r>
      <w:r>
        <w:t xml:space="preserve"> — ține de politica fiecărei</w:t>
      </w:r>
    </w:p>
    <w:p>
      <w:pPr>
        <w:jc w:val="both"/>
      </w:pPr>
      <w:r>
        <w:t>societăți când anume, dar nu una fără cealaltă. Al treilea pas lipsea din notițe: fără el,</w:t>
      </w:r>
    </w:p>
    <w:p>
      <w:pPr>
        <w:jc w:val="both"/>
      </w:pPr>
      <w:r>
        <w:t>5187 rămâne cu sold și pare creanță neîncasată.</w:t>
      </w:r>
    </w:p>
    <w:p>
      <w:pPr>
        <w:pStyle w:val="Heading3"/>
      </w:pPr>
      <w:r>
        <w:t>3.4 Linii de credit (5191) vs. credite cu scadențar (1621)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Linie de credit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Credit cu scadențar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Contul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5191 — datorie pe termen scurt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1621 — datorie pe termen lung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Documentul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fără scadențar; se reînnoiește anual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scadențar cu rata și dobânda pe fiecare lună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Cum funcționează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tragi și restitui de câte ori vrei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rate fixe, la date fixe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Ce plătești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doar ce utilizezi — dar e produs scump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tot ce e în scadențar</w:t>
            </w:r>
          </w:p>
        </w:tc>
      </w:tr>
    </w:tbl>
    <w:p/>
    <w:p>
      <w:pPr>
        <w:ind w:left="280"/>
      </w:pPr>
      <w:r>
        <w:rPr>
          <w:rFonts w:ascii="Consolas" w:hAnsi="Consolas"/>
          <w:sz w:val="18"/>
        </w:rPr>
        <w:t>5121 = 5191        tragerea din linie</w:t>
        <w:br/>
        <w:t>5191 = 5121        restituirea</w:t>
      </w:r>
    </w:p>
    <w:p>
      <w:pPr>
        <w:jc w:val="both"/>
      </w:pPr>
      <w:r>
        <w:t xml:space="preserve">⚠️ </w:t>
      </w:r>
      <w:r>
        <w:rPr>
          <w:b/>
        </w:rPr>
        <w:t>Riscul specific</w:t>
      </w:r>
      <w:r>
        <w:t xml:space="preserve">, subliniat de formator: la linia de credit </w:t>
      </w:r>
      <w:r>
        <w:rPr>
          <w:b/>
        </w:rPr>
        <w:t>nu ai scadențar</w:t>
      </w:r>
      <w:r>
        <w:t>.</w:t>
      </w:r>
    </w:p>
    <w:p>
      <w:pPr>
        <w:jc w:val="both"/>
      </w:pPr>
      <w:r>
        <w:t>Extrasele au explicații evazive, diferite de la o bancă la alta, iar unele (exemplul dat —</w:t>
      </w:r>
    </w:p>
    <w:p>
      <w:pPr>
        <w:jc w:val="both"/>
      </w:pPr>
      <w:r>
        <w:t>UniCredit) nu afișează sold intermediar, deci se operează la sfârșit de lună.</w:t>
      </w:r>
    </w:p>
    <w:p>
      <w:pPr>
        <w:jc w:val="both"/>
      </w:pPr>
      <w:r>
        <w:t>Fără extrasul de linie de credit cerut clientului, se ajunge să se opereze totul prin 5121</w:t>
      </w:r>
    </w:p>
    <w:p>
      <w:pPr>
        <w:jc w:val="both"/>
      </w:pPr>
      <w:r>
        <w:t>și să se rateze dobânda (666). Consecința nu e cosmetică: **cheltuiala nedeclarată</w:t>
      </w:r>
    </w:p>
    <w:p>
      <w:pPr>
        <w:jc w:val="both"/>
      </w:pPr>
      <w:r>
        <w:t>înseamnă impozit pe profit plătit în plus.**</w:t>
      </w:r>
    </w:p>
    <w:p>
      <w:pPr>
        <w:jc w:val="both"/>
      </w:pPr>
      <w:r>
        <w:t>La un credit cu scadențar, dacă înregistrezi rata în loc de dobândă te uiți în scadențar</w:t>
      </w:r>
    </w:p>
    <w:p>
      <w:pPr>
        <w:jc w:val="both"/>
      </w:pPr>
      <w:r>
        <w:t>și îți dai seama. La linie nu ai la ce să te uiți — de aceea se cere **soldul de la</w:t>
      </w:r>
    </w:p>
    <w:p>
      <w:pPr>
        <w:jc w:val="both"/>
      </w:pPr>
      <w:r>
        <w:t>sfârșit de lună**, ca verificare independentă.</w:t>
      </w:r>
    </w:p>
    <w:p>
      <w:pPr>
        <w:jc w:val="both"/>
      </w:pPr>
      <w:r>
        <w:t>➕ Analitic pe fiecare linie de credit, ca la 501: două linii pe același cont nu se mai</w:t>
      </w:r>
    </w:p>
    <w:p>
      <w:pPr>
        <w:jc w:val="both"/>
      </w:pPr>
      <w:r>
        <w:t>pot reconcilia cu extrasele.</w:t>
      </w:r>
    </w:p>
    <w:p>
      <w:pPr>
        <w:jc w:val="both"/>
      </w:pPr>
      <w:r>
        <w:t xml:space="preserve">⚠️ </w:t>
      </w:r>
      <w:r>
        <w:rPr>
          <w:b/>
        </w:rPr>
        <w:t>5191 nu ajunge niciodată cu sold debitor.</w:t>
      </w:r>
      <w:r>
        <w:t xml:space="preserve"> E cont de pasiv; un sold debitor</w:t>
      </w:r>
    </w:p>
    <w:p>
      <w:pPr>
        <w:jc w:val="both"/>
      </w:pPr>
      <w:r>
        <w:t>înseamnă că s-a restituit mai mult decât s-a tras, deci o înregistrare greșită.</w:t>
      </w:r>
    </w:p>
    <w:p>
      <w:pPr>
        <w:pStyle w:val="Heading2"/>
      </w:pPr>
      <w:r>
        <w:t>4. Tichete de masă și alte valori</w:t>
      </w:r>
    </w:p>
    <w:p>
      <w:pPr>
        <w:ind w:left="280"/>
      </w:pPr>
      <w:r>
        <w:rPr>
          <w:rFonts w:ascii="Consolas" w:hAnsi="Consolas"/>
          <w:sz w:val="18"/>
        </w:rPr>
        <w:t>5328 = 401        achiziția tichetelor de la furnizor</w:t>
        <w:br/>
        <w:t>6422 = 5328       acordarea, la înregistrarea statului de plată</w:t>
      </w:r>
    </w:p>
    <w:p>
      <w:pPr>
        <w:jc w:val="both"/>
      </w:pPr>
      <w:r>
        <w:t xml:space="preserve">⚠️ Notița scrie contul ca </w:t>
      </w:r>
      <w:r>
        <w:rPr>
          <w:rFonts w:ascii="Consolas" w:hAnsi="Consolas"/>
          <w:color w:val="1F4E79"/>
          <w:sz w:val="19"/>
        </w:rPr>
        <w:t>5238</w:t>
      </w:r>
      <w:r>
        <w:t xml:space="preserve"> în două locuri și ca </w:t>
      </w:r>
      <w:r>
        <w:rPr>
          <w:rFonts w:ascii="Consolas" w:hAnsi="Consolas"/>
          <w:color w:val="1F4E79"/>
          <w:sz w:val="19"/>
        </w:rPr>
        <w:t>5328</w:t>
      </w:r>
      <w:r>
        <w:t xml:space="preserve"> în altele. Corect e</w:t>
      </w:r>
    </w:p>
    <w:p>
      <w:pPr>
        <w:jc w:val="both"/>
      </w:pPr>
      <w:r>
        <w:rPr>
          <w:b/>
        </w:rPr>
        <w:t>5328</w:t>
      </w:r>
      <w:r>
        <w:t xml:space="preserve">; </w:t>
      </w:r>
      <w:r>
        <w:rPr>
          <w:rFonts w:ascii="Consolas" w:hAnsi="Consolas"/>
          <w:color w:val="1F4E79"/>
          <w:sz w:val="19"/>
        </w:rPr>
        <w:t>5238</w:t>
      </w:r>
      <w:r>
        <w:t xml:space="preserve"> nu există — grupa 52 nu există deloc în planul de conturi.</w:t>
      </w:r>
    </w:p>
    <w:p>
      <w:pPr>
        <w:jc w:val="both"/>
      </w:pPr>
      <w:r>
        <w:t xml:space="preserve">➕ Denumirea lui 5328 în OMFP 1802/2014 este </w:t>
      </w:r>
      <w:r>
        <w:rPr>
          <w:b/>
        </w:rPr>
        <w:t>„Alte valori”</w:t>
      </w:r>
      <w:r>
        <w:t>, nu „tichete de masă”:</w:t>
      </w:r>
    </w:p>
    <w:p>
      <w:pPr>
        <w:jc w:val="both"/>
      </w:pPr>
      <w:r>
        <w:t>planul nu are un cont dedicat lor. Grupa 532 are conturi proprii pentru timbre (5321),</w:t>
      </w:r>
    </w:p>
    <w:p>
      <w:pPr>
        <w:jc w:val="both"/>
      </w:pPr>
      <w:r>
        <w:t>bilete de tratament (5322) și bilete de călătorie (5323), iar tichetele de masă intră la</w:t>
      </w:r>
    </w:p>
    <w:p>
      <w:pPr>
        <w:pStyle w:val="ListNumber"/>
      </w:pPr>
      <w:r>
        <w:t>De aceea analiticul e util și aici: 5328 poate ține simultan tichete de masă,</w:t>
      </w:r>
    </w:p>
    <w:p>
      <w:pPr>
        <w:jc w:val="both"/>
      </w:pPr>
      <w:r>
        <w:t>tichete cadou și carduri valorice, care au regimuri fiscale diferite.</w:t>
      </w:r>
    </w:p>
    <w:p>
      <w:pPr>
        <w:jc w:val="both"/>
      </w:pPr>
      <w:r>
        <w:t xml:space="preserve">Fiscalizarea se face pe statul de plată: </w:t>
      </w:r>
      <w:r>
        <w:rPr>
          <w:b/>
        </w:rPr>
        <w:t>impozit 10% și CASS 10%</w:t>
      </w:r>
      <w:r>
        <w:t>. Nu se datorează CAS</w:t>
      </w:r>
    </w:p>
    <w:p>
      <w:pPr>
        <w:jc w:val="both"/>
      </w:pPr>
      <w:r>
        <w:t>și nu se datorează CAM.</w:t>
      </w:r>
    </w:p>
    <w:p>
      <w:pPr>
        <w:jc w:val="both"/>
      </w:pPr>
      <w:r>
        <w:t xml:space="preserve">➕ Tichetele stau pe 5328 ca </w:t>
      </w:r>
      <w:r>
        <w:rPr>
          <w:b/>
        </w:rPr>
        <w:t>stoc de trezorerie</w:t>
      </w:r>
      <w:r>
        <w:t xml:space="preserve"> între achiziție și acordare. Contul se</w:t>
      </w:r>
    </w:p>
    <w:p>
      <w:pPr>
        <w:jc w:val="both"/>
      </w:pPr>
      <w:r>
        <w:t xml:space="preserve">verifică </w:t>
      </w:r>
      <w:r>
        <w:rPr>
          <w:b/>
        </w:rPr>
        <w:t>lunar</w:t>
      </w:r>
      <w:r>
        <w:t>, nu trimestrial: un sold acolo înseamnă tichete cumpărate și</w:t>
      </w:r>
    </w:p>
    <w:p>
      <w:pPr>
        <w:jc w:val="both"/>
      </w:pPr>
      <w:r>
        <w:t>neacordate, iar la fiecare lună trecută devine mai greu de spus cui i se cuveneau.</w:t>
      </w:r>
    </w:p>
    <w:p>
      <w:pPr>
        <w:jc w:val="both"/>
      </w:pPr>
      <w:r>
        <w:rPr>
          <w:b/>
        </w:rPr>
        <w:t>Regula funcției de bază:</w:t>
      </w:r>
      <w:r>
        <w:t xml:space="preserve"> tichetele se acordă doar la locul de muncă de bază — o normă</w:t>
      </w:r>
    </w:p>
    <w:p>
      <w:pPr>
        <w:jc w:val="both"/>
      </w:pPr>
      <w:r>
        <w:t>de 4 ore poate fi funcție de bază, dar dintre două contracte de 8 ore doar unul poate fi.</w:t>
      </w:r>
    </w:p>
    <w:p>
      <w:pPr>
        <w:jc w:val="both"/>
      </w:pPr>
      <w:r>
        <w:t>Se acordă la sfârșitul lunii, când se știe efectiv cine a fost la lucru: nu se dau pentru</w:t>
      </w:r>
    </w:p>
    <w:p>
      <w:pPr>
        <w:jc w:val="both"/>
      </w:pPr>
      <w:r>
        <w:t>zilele de concediu.</w:t>
      </w:r>
    </w:p>
    <w:p>
      <w:pPr>
        <w:pStyle w:val="Heading2"/>
      </w:pPr>
      <w:r>
        <w:t>5. Avansuri de trezorerie (542)</w:t>
      </w:r>
    </w:p>
    <w:p>
      <w:pPr>
        <w:pStyle w:val="Heading3"/>
      </w:pPr>
      <w:r>
        <w:t>5.1 Monografia decontului</w:t>
      </w:r>
    </w:p>
    <w:p>
      <w:pPr>
        <w:jc w:val="both"/>
      </w:pPr>
      <w:r>
        <w:t>Acordarea avansului către salariat:</w:t>
      </w:r>
    </w:p>
    <w:p>
      <w:pPr>
        <w:ind w:left="280"/>
      </w:pPr>
      <w:r>
        <w:rPr>
          <w:rFonts w:ascii="Consolas" w:hAnsi="Consolas"/>
          <w:sz w:val="18"/>
        </w:rPr>
        <w:t>542 = 5121        5.000     (sau 5311, dacă se dă din casă)</w:t>
      </w:r>
    </w:p>
    <w:p>
      <w:pPr>
        <w:jc w:val="both"/>
      </w:pPr>
      <w:r>
        <w:t>Salariatul se întoarce cu decontul și documentele. **Fiecare cheltuială cu TVA trece</w:t>
      </w:r>
    </w:p>
    <w:p>
      <w:pPr>
        <w:jc w:val="both"/>
      </w:pPr>
      <w:r>
        <w:t>întâi prin furnizor** — altfel TVA-ul nu se poate deduce:</w:t>
      </w:r>
    </w:p>
    <w:p>
      <w:pPr>
        <w:jc w:val="both"/>
      </w:pPr>
      <w:r>
        <w:rPr>
          <w:b/>
        </w:rPr>
        <w:t>Motorină — 2.000 lei, cotă 21%:</w:t>
      </w:r>
    </w:p>
    <w:p>
      <w:pPr>
        <w:ind w:left="280"/>
      </w:pPr>
      <w:r>
        <w:rPr>
          <w:rFonts w:ascii="Consolas" w:hAnsi="Consolas"/>
          <w:sz w:val="18"/>
        </w:rPr>
        <w:t>6022 = 401        1.652,89</w:t>
        <w:br/>
        <w:t>4426 = 401          347,11</w:t>
        <w:br/>
        <w:t>401  = 542        2.000,00     plata furnizorului din avans</w:t>
      </w:r>
    </w:p>
    <w:p>
      <w:pPr>
        <w:jc w:val="both"/>
      </w:pPr>
      <w:r>
        <w:rPr>
          <w:b/>
        </w:rPr>
        <w:t>Cazare — 1.000 lei, cotă 11%:</w:t>
      </w:r>
    </w:p>
    <w:p>
      <w:pPr>
        <w:ind w:left="280"/>
      </w:pPr>
      <w:r>
        <w:rPr>
          <w:rFonts w:ascii="Consolas" w:hAnsi="Consolas"/>
          <w:sz w:val="18"/>
        </w:rPr>
        <w:t>625  = 401          900,90</w:t>
        <w:br/>
        <w:t>4426 = 401           99,10</w:t>
        <w:br/>
        <w:t>401  = 542        1.000,00</w:t>
      </w:r>
    </w:p>
    <w:p>
      <w:pPr>
        <w:pStyle w:val="Heading3"/>
      </w:pPr>
      <w:r>
        <w:t>5.2 Diurna — partea care lipsea</w:t>
      </w:r>
    </w:p>
    <w:p>
      <w:pPr>
        <w:jc w:val="both"/>
      </w:pPr>
      <w:r>
        <w:t>Notița se opreşte la „part 3 din 3: 2.000 lei decontul = diurna”, fără înregistrare.</w:t>
      </w:r>
    </w:p>
    <w:p>
      <w:pPr>
        <w:jc w:val="both"/>
      </w:pPr>
      <w:r>
        <w:t xml:space="preserve">➕ Nu e o omisiune de transcriere: </w:t>
      </w:r>
      <w:r>
        <w:rPr>
          <w:b/>
        </w:rPr>
        <w:t>diurna rupe tiparul primelor două.</w:t>
      </w:r>
      <w:r>
        <w:t xml:space="preserve"> Nu are furnizor</w:t>
      </w:r>
    </w:p>
    <w:p>
      <w:pPr>
        <w:jc w:val="both"/>
      </w:pPr>
      <w:r>
        <w:t>și nu are TVA de dedus — e o sumă cuvenită salariatului pentru deplasare. Deci nu trece</w:t>
      </w:r>
    </w:p>
    <w:p>
      <w:pPr>
        <w:jc w:val="both"/>
      </w:pPr>
      <w:r>
        <w:t>prin 401:</w:t>
      </w:r>
    </w:p>
    <w:p>
      <w:pPr>
        <w:ind w:left="280"/>
      </w:pPr>
      <w:r>
        <w:rPr>
          <w:rFonts w:ascii="Consolas" w:hAnsi="Consolas"/>
          <w:sz w:val="18"/>
        </w:rPr>
        <w:t>625 = 542         2.000     direct, fără furnizor și fără TVA</w:t>
      </w:r>
    </w:p>
    <w:p>
      <w:pPr>
        <w:jc w:val="both"/>
      </w:pPr>
      <w:r>
        <w:t xml:space="preserve">Decontul se închide exact: 2.000 + 1.000 + 2.000 = </w:t>
      </w:r>
      <w:r>
        <w:rPr>
          <w:b/>
        </w:rPr>
        <w:t>5.000 lei</w:t>
      </w:r>
      <w:r>
        <w:t>, cât s-a acordat.</w:t>
      </w:r>
    </w:p>
    <w:p>
      <w:pPr>
        <w:jc w:val="both"/>
      </w:pPr>
      <w:r>
        <w:t xml:space="preserve">➕ Există și varianta prin </w:t>
      </w:r>
      <w:r>
        <w:rPr>
          <w:b/>
        </w:rPr>
        <w:t>421</w:t>
      </w:r>
      <w:r>
        <w:t>, când diurna se plătește odată cu salariul în loc să</w:t>
      </w:r>
    </w:p>
    <w:p>
      <w:pPr>
        <w:jc w:val="both"/>
      </w:pPr>
      <w:r>
        <w:t xml:space="preserve">se deconteze din avansul de trezorerie: </w:t>
      </w:r>
      <w:r>
        <w:rPr>
          <w:rFonts w:ascii="Consolas" w:hAnsi="Consolas"/>
          <w:color w:val="1F4E79"/>
          <w:sz w:val="19"/>
        </w:rPr>
        <w:t>625 = 421</w:t>
      </w:r>
      <w:r>
        <w:t>, iar 542 se închide numai cu ce s-a</w:t>
      </w:r>
    </w:p>
    <w:p>
      <w:pPr>
        <w:jc w:val="both"/>
      </w:pPr>
      <w:r>
        <w:t>cheltuit efectiv. E o alegere de politică de decont, nu de corectitudine — dar trebuie</w:t>
      </w:r>
    </w:p>
    <w:p>
      <w:pPr>
        <w:jc w:val="both"/>
      </w:pPr>
      <w:r>
        <w:t>făcută consecvent, altfel aceeași deplasare apare când pe 542, când pe 421, și niciun</w:t>
      </w:r>
    </w:p>
    <w:p>
      <w:pPr>
        <w:jc w:val="both"/>
      </w:pPr>
      <w:r>
        <w:t>analitic nu mai spune nimic.</w:t>
      </w:r>
    </w:p>
    <w:p>
      <w:pPr>
        <w:jc w:val="both"/>
      </w:pPr>
      <w:r>
        <w:t xml:space="preserve">❓ </w:t>
      </w:r>
      <w:r>
        <w:rPr>
          <w:b/>
        </w:rPr>
        <w:t>Plafonul de deductibilitate al diurnei</w:t>
      </w:r>
      <w:r>
        <w:t xml:space="preserve"> nu era în notițe. Peste plafon, diurna se</w:t>
      </w:r>
    </w:p>
    <w:p>
      <w:pPr>
        <w:jc w:val="both"/>
      </w:pPr>
      <w:r>
        <w:t>asimilează salariului și se impozitează ca atare — deci cifra contează. De confirmat</w:t>
      </w:r>
    </w:p>
    <w:p>
      <w:pPr>
        <w:jc w:val="both"/>
      </w:pPr>
      <w:r>
        <w:t>nivelul în vigoare la data deplasării.</w:t>
      </w:r>
    </w:p>
    <w:p>
      <w:pPr>
        <w:pStyle w:val="Heading3"/>
      </w:pPr>
      <w:r>
        <w:t>5.3 De ce analiticul e obligatoriu aici</w:t>
      </w:r>
    </w:p>
    <w:p>
      <w:pPr>
        <w:jc w:val="both"/>
      </w:pPr>
      <w:r>
        <w:t xml:space="preserve">Formatorul e categoric: </w:t>
      </w:r>
      <w:r>
        <w:rPr>
          <w:b/>
        </w:rPr>
        <w:t>„542 pe analitic este esențial”</w:t>
      </w:r>
      <w:r>
        <w:t>, cu patru semne de exclamare.</w:t>
      </w:r>
    </w:p>
    <w:p>
      <w:pPr>
        <w:jc w:val="both"/>
      </w:pPr>
      <w:r>
        <w:t>Motivul e că soldul poate merge în ambele sensuri, pe același cont, pe persoane diferite:</w:t>
      </w:r>
    </w:p>
    <w:p>
      <w:pPr>
        <w:jc w:val="both"/>
      </w:pPr>
      <w:r>
        <w:t>un șofer a pus bani de la el și firma îi datorează, altul a primit avans mai mare și</w:t>
      </w:r>
    </w:p>
    <w:p>
      <w:pPr>
        <w:jc w:val="both"/>
      </w:pPr>
      <w:r>
        <w:t>trebuie să restituie. Pe un 542 sintetic, cele două se anulează și soldul arată aproape</w:t>
      </w:r>
    </w:p>
    <w:p>
      <w:pPr>
        <w:jc w:val="both"/>
      </w:pPr>
      <w:r>
        <w:t>zero — corect ca total, fals pe fiecare om.</w:t>
      </w:r>
    </w:p>
    <w:p>
      <w:pPr>
        <w:jc w:val="both"/>
      </w:pPr>
      <w:r>
        <w:t>Partea asta e cea mai greu de ținut din toată trezoreria, și fiecare program de</w:t>
      </w:r>
    </w:p>
    <w:p>
      <w:pPr>
        <w:jc w:val="both"/>
      </w:pPr>
      <w:r>
        <w:t>contabilitate o tratează altfel.</w:t>
      </w:r>
    </w:p>
    <w:p>
      <w:pPr>
        <w:pStyle w:val="Heading2"/>
      </w:pPr>
      <w:r>
        <w:t>6. Viramente interne (581)</w:t>
      </w:r>
    </w:p>
    <w:p>
      <w:pPr>
        <w:pStyle w:val="Heading3"/>
      </w:pPr>
      <w:r>
        <w:t>6.1 Când 581 are voie să aibă sold</w:t>
      </w:r>
    </w:p>
    <w:p>
      <w:pPr>
        <w:jc w:val="both"/>
      </w:pPr>
      <w:r>
        <w:t xml:space="preserve">581 trebuie să ajungă la </w:t>
      </w:r>
      <w:r>
        <w:rPr>
          <w:b/>
        </w:rPr>
        <w:t>zero</w:t>
      </w:r>
      <w:r>
        <w:t>. Excepția legitimă: transferul făcut la sfârșitul lunii</w:t>
      </w:r>
    </w:p>
    <w:p>
      <w:pPr>
        <w:jc w:val="both"/>
      </w:pPr>
      <w:r>
        <w:t>și primit la începutul lunii următoare — atunci soldul e chiar realitatea, banii sunt pe</w:t>
      </w:r>
    </w:p>
    <w:p>
      <w:pPr>
        <w:jc w:val="both"/>
      </w:pPr>
      <w:r>
        <w:t>drum.</w:t>
      </w:r>
    </w:p>
    <w:p>
      <w:pPr>
        <w:pStyle w:val="Heading3"/>
      </w:pPr>
      <w:r>
        <w:t>6.2 Diferența de curs la transferul valută → lei</w:t>
      </w:r>
    </w:p>
    <w:p>
      <w:pPr>
        <w:jc w:val="both"/>
      </w:pPr>
      <w:r>
        <w:t>⚠️ La transferul din valută în lei, diferența de curs **se reglează prin bancă, nu prin</w:t>
      </w:r>
    </w:p>
    <w:p>
      <w:pPr>
        <w:jc w:val="both"/>
      </w:pPr>
      <w:r>
        <w:t>581** — notițele subliniază cu șase semne de exclamare.</w:t>
      </w:r>
    </w:p>
    <w:p>
      <w:pPr>
        <w:jc w:val="both"/>
      </w:pPr>
      <w:r>
        <w:t xml:space="preserve">Motivul: 581 e un cont de </w:t>
      </w:r>
      <w:r>
        <w:rPr>
          <w:b/>
        </w:rPr>
        <w:t>tranzit pur</w:t>
      </w:r>
      <w:r>
        <w:t>, care trebuie să iasă cu exact cât a intrat.</w:t>
      </w:r>
    </w:p>
    <w:p>
      <w:pPr>
        <w:jc w:val="both"/>
      </w:pPr>
      <w:r>
        <w:t>Dacă diferența de curs se lasă acolo, contul nu se mai închide și devine imposibil de spus</w:t>
      </w:r>
    </w:p>
    <w:p>
      <w:pPr>
        <w:jc w:val="both"/>
      </w:pPr>
      <w:r>
        <w:t>dacă soldul rămas e un transfer în curs sau o diferență necontabilizată. Diferența</w:t>
      </w:r>
    </w:p>
    <w:p>
      <w:pPr>
        <w:jc w:val="both"/>
      </w:pPr>
      <w:r>
        <w:t>aparține contului de bancă în valută, unde s-a și produs.</w:t>
      </w:r>
    </w:p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Anexa D — Rămase deschise</w:t>
      </w:r>
    </w:p>
    <w:p>
      <w:pPr>
        <w:jc w:val="both"/>
      </w:pPr>
      <w:r>
        <w:t xml:space="preserve">Ce e încă provizoriu în documentul ăsta. Lista nu e scrisă aici: vine din </w:t>
      </w:r>
      <w:r>
        <w:rPr>
          <w:rFonts w:ascii="Consolas" w:hAnsi="Consolas"/>
          <w:color w:val="1F4E79"/>
          <w:sz w:val="19"/>
        </w:rPr>
        <w:t>date/intrebari.py</w:t>
      </w:r>
      <w:r>
        <w:t>, aceeași sursă cu foaia „Întrebări deschise” a workbook-ului și cu lista trimisibilă formatorului.</w:t>
      </w:r>
    </w:p>
    <w:p>
      <w:pPr>
        <w:jc w:val="both"/>
      </w:pPr>
      <w:r>
        <w:rPr>
          <w:b/>
        </w:rPr>
        <w:t>❓ Reevaluarea de sfârșit de lună a conturilor în valută se înregistrează pe 665/765 sau pe 668/768?</w:t>
      </w:r>
    </w:p>
    <w:p>
      <w:pPr>
        <w:jc w:val="both"/>
      </w:pPr>
      <w:r>
        <w:rPr>
          <w:i/>
        </w:rPr>
        <w:t>Trezorerie — diferențe de curs și plafoane · training 28.08.2026, punctul 1</w:t>
      </w:r>
    </w:p>
    <w:p>
      <w:pPr>
        <w:jc w:val="both"/>
      </w:pPr>
      <w:r>
        <w:t>Notițele din 28.08 spun: diferențele de curs curente prin 665/765, iar reevaluarea de la sfârșitul lunii prin 668/768, cu observația „să fie clară diferența de curs din reevaluare, și cea de la furnizori”.</w:t>
      </w:r>
    </w:p>
    <w:p>
      <w:pPr>
        <w:jc w:val="both"/>
      </w:pPr>
      <w:r>
        <w:rPr>
          <w:b/>
        </w:rPr>
        <w:t>Ce am presupus între timp:</w:t>
      </w:r>
      <w:r>
        <w:t xml:space="preserve"> Am păstrat 665/765 pentru ambele situații, cu analitic .DEC și .REV. Motivul: funcțiunea contului 665 din OMFP 1802/2014 include explicit diferențele rezultate „la sfârșitul lunii/exercițiului financiar, din evaluarea disponibilităților bancare și a numerarului în valută” — deci reevaluarea e chiar în funcțiunea lui. Iar 668/768 au alt rost: creanțele și datoriile exprimate în LEI, decontabile după cursul unei valute. Scopul formatorului — reevaluarea separată de decontare — se atinge cu analiticul, fără să mute reevaluarea în afara contului de diferențe de curs. Dacă formatorul confirmă varianta lui, se schimbă; dar atunci trebuie explicat cum se raportează diferențele de curs care nu mai sunt în contul lor.</w:t>
      </w:r>
    </w:p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Anexa E — Baza legală citată</w:t>
      </w:r>
    </w:p>
    <w:p>
      <w:pPr>
        <w:jc w:val="both"/>
      </w:pPr>
      <w:r>
        <w:t>Extrasă automat din textul documentului: sunt listate actele și articolele care apar efectiv citate mai sus. Contextul fiecărei citări e în secțiunea unde apare.</w:t>
      </w:r>
    </w:p>
    <w:p>
      <w:pPr>
        <w:jc w:val="both"/>
      </w:pPr>
      <w:r>
        <w:rPr>
          <w:b/>
        </w:rPr>
        <w:t>Acte normative citate</w:t>
      </w:r>
    </w:p>
    <w:p>
      <w:pPr>
        <w:pStyle w:val="ListBullet"/>
      </w:pPr>
      <w:r>
        <w:t>OMFP 1802/2014</w:t>
      </w:r>
    </w:p>
    <w:p>
      <w:pPr>
        <w:spacing w:before="40" w:after="160"/>
        <w:pBdr>
          <w:bottom w:val="single" w:sz="6" w:color="DBE3EA"/>
        </w:pBdr>
      </w:pPr>
    </w:p>
    <w:p>
      <w:pPr>
        <w:jc w:val="both"/>
      </w:pPr>
      <w:r>
        <w:rPr>
          <w:i/>
        </w:rPr>
        <w:t>Clasa 5 avea, până la sursa asta, două fluxuri și două conturi de patru cifre în plan. Documentul e primul care o tratează ca teritoriu, nu ca anexă a altor subiecte.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