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4"/>
          <w:szCs w:val="44"/>
        </w:rPr>
        <w:t xml:space="preserve">MEMORIAL TÉCNICO</w:t>
      </w:r>
    </w:p>
    <w:p>
      <w:pPr>
        <w:spacing w:after="100"/>
        <w:jc w:val="center"/>
      </w:pPr>
      <w:r>
        <w:rPr>
          <w:rFonts w:ascii="Arial" w:cs="Arial" w:eastAsia="Arial" w:hAnsi="Arial"/>
          <w:b/>
          <w:bCs/>
          <w:color w:val="2E5496"/>
          <w:sz w:val="30"/>
          <w:szCs w:val="30"/>
        </w:rPr>
        <w:t xml:space="preserve">Derivativo Paramétrico de Precipitação para Soja</w:t>
      </w:r>
    </w:p>
    <w:p>
      <w:pPr>
        <w:spacing w:after="400"/>
        <w:jc w:val="center"/>
      </w:pPr>
      <w:r>
        <w:rPr>
          <w:rFonts w:ascii="Arial" w:cs="Arial" w:eastAsia="Arial" w:hAnsi="Arial"/>
          <w:i/>
          <w:iCs/>
          <w:color w:val="595959"/>
          <w:sz w:val="22"/>
          <w:szCs w:val="22"/>
        </w:rPr>
        <w:t xml:space="preserve">Estrutura estilo CME/CBOT — Sorriso, Sinop e Lucas do Rio Verde (MT)</w:t>
      </w:r>
    </w:p>
    <w:p>
      <w:pPr>
        <w:spacing w:after="1600"/>
        <w:jc w:val="center"/>
      </w:pPr>
      <w:r>
        <w:rPr>
          <w:rFonts w:ascii="Arial" w:cs="Arial" w:eastAsia="Arial" w:hAnsi="Arial"/>
          <w:color w:val="808080"/>
          <w:sz w:val="20"/>
          <w:szCs w:val="20"/>
        </w:rPr>
        <w:t xml:space="preserve">Projeto de estruturação financeira aplicado ao agronegócio brasileiro</w:t>
      </w:r>
    </w:p>
    <w:p>
      <w:r>
        <w:br w:type="page"/>
      </w:r>
    </w:p>
    <w:p>
      <w:pPr>
        <w:pStyle w:val="Heading1"/>
        <w:spacing w:after="150" w:before="300"/>
      </w:pPr>
      <w:r>
        <w:rPr>
          <w:rFonts w:ascii="Arial" w:cs="Arial" w:eastAsia="Arial" w:hAnsi="Arial"/>
          <w:b/>
          <w:bCs/>
          <w:color w:val="1F3864"/>
        </w:rPr>
        <w:t xml:space="preserve">1. Sumário Executivo</w:t>
      </w:r>
    </w:p>
    <w:p>
      <w:pPr>
        <w:spacing w:after="160" w:line="300"/>
        <w:jc w:val="both"/>
      </w:pPr>
      <w:r>
        <w:rPr>
          <w:rFonts w:ascii="Arial" w:cs="Arial" w:eastAsia="Arial" w:hAnsi="Arial"/>
          <w:sz w:val="21"/>
          <w:szCs w:val="21"/>
        </w:rPr>
        <w:t xml:space="preserve">Este memorial documenta o desenvolvimento de um derivativo paramétrico de precipitação para o hedge de risco climático da soja no Médio-Norte de Mato Grosso (Sorriso, Sinop e Lucas do Rio Verde), estruturado segundo a lógica de contratos climáticos negociados na CME Group (Chicago Mercantile Exchange).</w:t>
      </w:r>
    </w:p>
    <w:p>
      <w:pPr>
        <w:spacing w:after="160" w:line="300"/>
        <w:jc w:val="both"/>
      </w:pPr>
      <w:r>
        <w:rPr>
          <w:rFonts w:ascii="Arial" w:cs="Arial" w:eastAsia="Arial" w:hAnsi="Arial"/>
          <w:sz w:val="21"/>
          <w:szCs w:val="21"/>
        </w:rPr>
        <w:t xml:space="preserve">O produto final consiste em uma cadeia de 108 contratos PUT (3 cidades x 6 meses da safra x 6 níveis de strike), precificados por duas metodologias complementares — Historical Burn Analysis (HBA) e simulação de Monte Carlo com distribuição Gamma — sobre 36 anos de dados diários de precipitação (NASA POWER, 1990–2026).</w:t>
      </w:r>
    </w:p>
    <w:p>
      <w:pPr>
        <w:spacing w:after="160" w:line="300"/>
        <w:jc w:val="both"/>
      </w:pPr>
      <w:r>
        <w:rPr>
          <w:rFonts w:ascii="Arial" w:cs="Arial" w:eastAsia="Arial" w:hAnsi="Arial"/>
          <w:sz w:val="21"/>
          <w:szCs w:val="21"/>
        </w:rPr>
        <w:t xml:space="preserve">Este documento tem um objetivo adicional: registrar o processo analítico que levou ao desenho final do produto, incluindo as abordagens testadas e descartadas ao longo do projeto. Essa trajetória — da tentativa inicial de derivativo indexado à produtividade agrícola até o pivô para o derivativo paramétrico puro — é, em si, o principal ativo intelectual deste trabalho, pois demonstra o rigor estatístico necessário para validar (ou invalidar) uma estrutura de hedge antes de sua precificação.</w:t>
      </w:r>
    </w:p>
    <w:p>
      <w:pPr>
        <w:pStyle w:val="Heading1"/>
        <w:spacing w:after="150" w:before="300"/>
      </w:pPr>
      <w:r>
        <w:rPr>
          <w:rFonts w:ascii="Arial" w:cs="Arial" w:eastAsia="Arial" w:hAnsi="Arial"/>
          <w:b/>
          <w:bCs/>
          <w:color w:val="1F3864"/>
        </w:rPr>
        <w:t xml:space="preserve">2. Contexto e Jornada Metodológica</w:t>
      </w:r>
    </w:p>
    <w:p>
      <w:pPr>
        <w:spacing w:after="160" w:line="300"/>
        <w:jc w:val="both"/>
      </w:pPr>
      <w:r>
        <w:rPr>
          <w:rFonts w:ascii="Arial" w:cs="Arial" w:eastAsia="Arial" w:hAnsi="Arial"/>
          <w:sz w:val="21"/>
          <w:szCs w:val="21"/>
        </w:rPr>
        <w:t xml:space="preserve">2.1 Hipótese inicial: índice de produtividade climaticamente ajustado</w:t>
      </w:r>
    </w:p>
    <w:p>
      <w:pPr>
        <w:spacing w:after="160" w:line="300"/>
        <w:jc w:val="both"/>
      </w:pPr>
      <w:r>
        <w:rPr>
          <w:rFonts w:ascii="Arial" w:cs="Arial" w:eastAsia="Arial" w:hAnsi="Arial"/>
          <w:sz w:val="21"/>
          <w:szCs w:val="21"/>
        </w:rPr>
        <w:t xml:space="preserve">O projeto começou com a tentativa de construir um índice climático capaz de explicar a produtividade da soja (kg/ha) a partir de variáveis meteorológicas (precipitação, temperatura, umidade, radiação) na janela fenológica reprodutiva (R1–R6) da cultura. A abordagem envolveu:</w:t>
      </w:r>
    </w:p>
    <w:p>
      <w:pPr>
        <w:pStyle w:val="ListParagraph"/>
        <w:numPr>
          <w:ilvl w:val="0"/>
          <w:numId w:val="1"/>
        </w:numPr>
        <w:spacing w:after="90"/>
      </w:pPr>
      <w:r>
        <w:rPr>
          <w:rFonts w:ascii="Arial" w:cs="Arial" w:eastAsia="Arial" w:hAnsi="Arial"/>
          <w:sz w:val="21"/>
          <w:szCs w:val="21"/>
        </w:rPr>
        <w:t xml:space="preserve">Coleta de produtividade municipal (IBGE PAM, 1990–2024) para os três municípios;</w:t>
      </w:r>
    </w:p>
    <w:p>
      <w:pPr>
        <w:pStyle w:val="ListParagraph"/>
        <w:numPr>
          <w:ilvl w:val="0"/>
          <w:numId w:val="1"/>
        </w:numPr>
        <w:spacing w:after="90"/>
      </w:pPr>
      <w:r>
        <w:rPr>
          <w:rFonts w:ascii="Arial" w:cs="Arial" w:eastAsia="Arial" w:hAnsi="Arial"/>
          <w:sz w:val="21"/>
          <w:szCs w:val="21"/>
        </w:rPr>
        <w:t xml:space="preserve">Coleta de clima diário (NASA POWER) para o mesmo período;</w:t>
      </w:r>
    </w:p>
    <w:p>
      <w:pPr>
        <w:pStyle w:val="ListParagraph"/>
        <w:numPr>
          <w:ilvl w:val="0"/>
          <w:numId w:val="1"/>
        </w:numPr>
        <w:spacing w:after="90"/>
      </w:pPr>
      <w:r>
        <w:rPr>
          <w:rFonts w:ascii="Arial" w:cs="Arial" w:eastAsia="Arial" w:hAnsi="Arial"/>
          <w:sz w:val="21"/>
          <w:szCs w:val="21"/>
        </w:rPr>
        <w:t xml:space="preserve">Detrending da produtividade (efeitos fixos por município) para isolar o "choque" climático do avanço tecnológico;</w:t>
      </w:r>
    </w:p>
    <w:p>
      <w:pPr>
        <w:pStyle w:val="ListParagraph"/>
        <w:numPr>
          <w:ilvl w:val="0"/>
          <w:numId w:val="1"/>
        </w:numPr>
        <w:spacing w:after="90"/>
      </w:pPr>
      <w:r>
        <w:rPr>
          <w:rFonts w:ascii="Arial" w:cs="Arial" w:eastAsia="Arial" w:hAnsi="Arial"/>
          <w:sz w:val="21"/>
          <w:szCs w:val="21"/>
        </w:rPr>
        <w:t xml:space="preserve">Regressão em painel entre o choque de produtividade e variáveis climáticas agregadas na janela reprodutiva.</w:t>
      </w:r>
    </w:p>
    <w:p>
      <w:pPr>
        <w:spacing w:after="160" w:line="300"/>
        <w:jc w:val="both"/>
      </w:pPr>
      <w:r>
        <w:rPr>
          <w:rFonts w:ascii="Arial" w:cs="Arial" w:eastAsia="Arial" w:hAnsi="Arial"/>
          <w:sz w:val="21"/>
          <w:szCs w:val="21"/>
        </w:rPr>
        <w:t xml:space="preserve">O resultado inicial (R² in-sample de 0,26, obtido por grid search sobre 144 combinações de parâmetros bioclimáticos) mostrou-se, sob validação cruzada Leave-One-Year-Out (LOYO), um artefato de overfitting: o R² fora da amostra caiu para 0,07 — uma perda de 73% do poder explicativo aparente. Uma segunda versão do motor, com parâmetros fixados pela literatura agronômica (em vez de otimizados sobre os próprios dados) e Curve Number específico por cidade, reduziu o overfitting mas manteve o R² fora da amostra em patamar baixo (~0,06).</w:t>
      </w:r>
    </w:p>
    <w:p>
      <w:pPr>
        <w:spacing w:after="160" w:line="300"/>
        <w:jc w:val="both"/>
      </w:pPr>
      <w:r>
        <w:rPr>
          <w:rFonts w:ascii="Arial" w:cs="Arial" w:eastAsia="Arial" w:hAnsi="Arial"/>
          <w:sz w:val="21"/>
          <w:szCs w:val="21"/>
        </w:rPr>
        <w:t xml:space="preserve">2.2 Diagnóstico: por que o índice de produtividade não é uma base sólida para uma opção</w:t>
      </w:r>
    </w:p>
    <w:p>
      <w:pPr>
        <w:spacing w:after="160" w:line="300"/>
        <w:jc w:val="both"/>
      </w:pPr>
      <w:r>
        <w:rPr>
          <w:rFonts w:ascii="Arial" w:cs="Arial" w:eastAsia="Arial" w:hAnsi="Arial"/>
          <w:sz w:val="21"/>
          <w:szCs w:val="21"/>
        </w:rPr>
        <w:t xml:space="preserve">A investigação revelou três limitações estruturais do dado disponível, não do método de modelagem:</w:t>
      </w:r>
    </w:p>
    <w:p>
      <w:pPr>
        <w:pStyle w:val="ListParagraph"/>
        <w:numPr>
          <w:ilvl w:val="0"/>
          <w:numId w:val="1"/>
        </w:numPr>
        <w:spacing w:after="90"/>
      </w:pPr>
      <w:r>
        <w:rPr>
          <w:rFonts w:ascii="Arial" w:cs="Arial" w:eastAsia="Arial" w:hAnsi="Arial"/>
          <w:sz w:val="21"/>
          <w:szCs w:val="21"/>
        </w:rPr>
        <w:t xml:space="preserve">Produtividade do IBGE é uma média municipal (centenas de fazendas com solo, manejo e datas de plantio distintos), o que dilui qualquer sinal climático específico de talhão;</w:t>
      </w:r>
    </w:p>
    <w:p>
      <w:pPr>
        <w:pStyle w:val="ListParagraph"/>
        <w:numPr>
          <w:ilvl w:val="0"/>
          <w:numId w:val="1"/>
        </w:numPr>
        <w:spacing w:after="90"/>
      </w:pPr>
      <w:r>
        <w:rPr>
          <w:rFonts w:ascii="Arial" w:cs="Arial" w:eastAsia="Arial" w:hAnsi="Arial"/>
          <w:sz w:val="21"/>
          <w:szCs w:val="21"/>
        </w:rPr>
        <w:t xml:space="preserve">N efetivo pequeno (35 safras x 3 municípios = 105 observações) para 5+ variáveis climáticas correlacionadas entre si, tornando qualquer ajuste estatístico vulnerável a garimpo de resultado (data dredging);</w:t>
      </w:r>
    </w:p>
    <w:p>
      <w:pPr>
        <w:pStyle w:val="ListParagraph"/>
        <w:numPr>
          <w:ilvl w:val="0"/>
          <w:numId w:val="1"/>
        </w:numPr>
        <w:spacing w:after="90"/>
      </w:pPr>
      <w:r>
        <w:rPr>
          <w:rFonts w:ascii="Arial" w:cs="Arial" w:eastAsia="Arial" w:hAnsi="Arial"/>
          <w:sz w:val="21"/>
          <w:szCs w:val="21"/>
        </w:rPr>
        <w:t xml:space="preserve">Área plantada cresceu entre 255% e 2.923% no período em cada município — a "tendência tecnológica" removida por efeitos fixos lineares na realidade também absorve a maturação da fronteira agrícola, um fenômeno distinto de ganho tecnológico puro.</w:t>
      </w:r>
    </w:p>
    <w:p>
      <w:pPr>
        <w:spacing w:after="160" w:line="300"/>
        <w:jc w:val="both"/>
      </w:pPr>
      <w:r>
        <w:rPr>
          <w:rFonts w:ascii="Arial" w:cs="Arial" w:eastAsia="Arial" w:hAnsi="Arial"/>
          <w:sz w:val="21"/>
          <w:szCs w:val="21"/>
        </w:rPr>
        <w:t xml:space="preserve">Uma tentativa adicional de usar sensoriamento remoto (NDVI/EVI via Sentinel-2, Google Earth Engine) para superar a limitação do dado municipal confirmou a validade conceitual da abordagem (a literatura publicada para a mesma região agroclimática reporta R² de 0,68–0,78 entre EVI e produtividade), mas a calibração para um talhão específico depende de produtividade real do talhão, indisponível neste projeto.</w:t>
      </w:r>
    </w:p>
    <w:p>
      <w:pPr>
        <w:spacing w:after="160" w:line="300"/>
        <w:jc w:val="both"/>
      </w:pPr>
      <w:r>
        <w:rPr>
          <w:rFonts w:ascii="Arial" w:cs="Arial" w:eastAsia="Arial" w:hAnsi="Arial"/>
          <w:sz w:val="21"/>
          <w:szCs w:val="21"/>
        </w:rPr>
        <w:t xml:space="preserve">2.3 Pivô estratégico: do índice de produtividade ao derivativo paramétrico puro</w:t>
      </w:r>
    </w:p>
    <w:p>
      <w:pPr>
        <w:spacing w:after="160" w:line="300"/>
        <w:jc w:val="both"/>
      </w:pPr>
      <w:r>
        <w:rPr>
          <w:rFonts w:ascii="Arial" w:cs="Arial" w:eastAsia="Arial" w:hAnsi="Arial"/>
          <w:sz w:val="21"/>
          <w:szCs w:val="21"/>
        </w:rPr>
        <w:t xml:space="preserve">Diante da fragilidade estatística do vínculo clima-produtividade em nível municipal, o projeto foi redesenhado para eliminar essa dependência. Em vez de um produto cujo payoff depende de uma relação estimada (e estatisticamente frágil) entre clima e produtividade, o novo desenho paga diretamente sobre o índice climático objetivo — precipitação —, replicando a arquitetura de produtos reais negociados na CME (HDD/CDD/precipitação).</w:t>
      </w:r>
    </w:p>
    <w:p>
      <w:pPr>
        <w:spacing w:after="160" w:line="300"/>
        <w:jc w:val="both"/>
      </w:pPr>
      <w:r>
        <w:rPr>
          <w:rFonts w:ascii="Arial" w:cs="Arial" w:eastAsia="Arial" w:hAnsi="Arial"/>
          <w:sz w:val="21"/>
          <w:szCs w:val="21"/>
        </w:rPr>
        <w:t xml:space="preserve">Essa mudança não elimina o basis risk (a possibilidade de o índice climático divergir do resultado real da lavoura), mas transforma o risco de um problema de modelagem estatística (difícil de quantificar com confiança) em uma característica de design de produto explicitamente documentada — prática padrão em derivativos climáticos institucionais.</w:t>
      </w:r>
    </w:p>
    <w:p>
      <w:pPr>
        <w:pStyle w:val="Heading1"/>
        <w:spacing w:after="150" w:before="300"/>
      </w:pPr>
      <w:r>
        <w:rPr>
          <w:rFonts w:ascii="Arial" w:cs="Arial" w:eastAsia="Arial" w:hAnsi="Arial"/>
          <w:b/>
          <w:bCs/>
          <w:color w:val="1F3864"/>
        </w:rPr>
        <w:t xml:space="preserve">3. Estrutura do Produto (Contract Spec)</w:t>
      </w:r>
    </w:p>
    <w:p>
      <w:pPr>
        <w:spacing w:after="160" w:line="300"/>
        <w:jc w:val="both"/>
      </w:pPr>
      <w:r>
        <w:rPr>
          <w:rFonts w:ascii="Arial" w:cs="Arial" w:eastAsia="Arial" w:hAnsi="Arial"/>
          <w:sz w:val="21"/>
          <w:szCs w:val="21"/>
        </w:rPr>
        <w:t xml:space="preserve">O contrato foi desenhado seguindo a nomenclatura e a lógica de contratos da CME Group: um índice climático observável, um período de medição definido, uma unidade de valor por ponto do índice (tick), e liquidação financeira sem necessidade de prova de perda — características centrais de qualquer derivativo paramétrico ou weather derivative.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shd w:fill="2E549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Parâmetro</w:t>
            </w:r>
          </w:p>
        </w:tc>
        <w:tc>
          <w:tcPr>
            <w:shd w:fill="2E549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Definição</w:t>
            </w:r>
          </w:p>
        </w:tc>
      </w:tr>
      <w:tr>
        <w:tc>
          <w:tcPr>
            <w:shd w:fill="F2F2F2"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Índice subjacente</w:t>
            </w:r>
          </w:p>
        </w:tc>
        <w:tc>
          <w:tcPr>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Precipitação acumulada mensal (mm), NASA POWER</w:t>
            </w:r>
          </w:p>
        </w:tc>
      </w:tr>
      <w:tr>
        <w:tc>
          <w:tcPr>
            <w:shd w:fill="FFFFFF"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Instrumento</w:t>
            </w:r>
          </w:p>
        </w:tc>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PUT (paga ao produtor quando chove menos que o strike)</w:t>
            </w:r>
          </w:p>
        </w:tc>
      </w:tr>
      <w:tr>
        <w:tc>
          <w:tcPr>
            <w:shd w:fill="F2F2F2"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Cidades</w:t>
            </w:r>
          </w:p>
        </w:tc>
        <w:tc>
          <w:tcPr>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Sorriso, Sinop, Lucas do Rio Verde (MT)</w:t>
            </w:r>
          </w:p>
        </w:tc>
      </w:tr>
      <w:tr>
        <w:tc>
          <w:tcPr>
            <w:shd w:fill="FFFFFF"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Período de cobertura</w:t>
            </w:r>
          </w:p>
        </w:tc>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Set–Fev (safra completa), 1 contrato por mês</w:t>
            </w:r>
          </w:p>
        </w:tc>
      </w:tr>
      <w:tr>
        <w:tc>
          <w:tcPr>
            <w:shd w:fill="F2F2F2"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Tick (contract unit)</w:t>
            </w:r>
          </w:p>
        </w:tc>
        <w:tc>
          <w:tcPr>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R$ 150,00 por mm de déficit</w:t>
            </w:r>
          </w:p>
        </w:tc>
      </w:tr>
      <w:tr>
        <w:tc>
          <w:tcPr>
            <w:shd w:fill="FFFFFF"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Cap de payoff</w:t>
            </w:r>
          </w:p>
        </w:tc>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60 mm de déficit (payoff máximo R$ 9.000,00/contrato)</w:t>
            </w:r>
          </w:p>
        </w:tc>
      </w:tr>
      <w:tr>
        <w:tc>
          <w:tcPr>
            <w:shd w:fill="F2F2F2"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Strikes disponíveis</w:t>
            </w:r>
          </w:p>
        </w:tc>
        <w:tc>
          <w:tcPr>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30%, 40%, 50%, 60%, 70%, 80% da média histórica do mês</w:t>
            </w:r>
          </w:p>
        </w:tc>
      </w:tr>
      <w:tr>
        <w:tc>
          <w:tcPr>
            <w:shd w:fill="FFFFFF"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Carga de risco (loading)</w:t>
            </w:r>
          </w:p>
        </w:tc>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 sobre o payoff esperado</w:t>
            </w:r>
          </w:p>
        </w:tc>
      </w:tr>
      <w:tr>
        <w:tc>
          <w:tcPr>
            <w:shd w:fill="F2F2F2"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Taxa de desconto</w:t>
            </w:r>
          </w:p>
        </w:tc>
        <w:tc>
          <w:tcPr>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10,75% a.a. (referência Selic)</w:t>
            </w:r>
          </w:p>
        </w:tc>
      </w:tr>
      <w:tr>
        <w:tc>
          <w:tcPr>
            <w:shd w:fill="FFFFFF"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Liquidação</w:t>
            </w:r>
          </w:p>
        </w:tc>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Financeira (cash settlement), sem prova de perda</w:t>
            </w:r>
          </w:p>
        </w:tc>
      </w:tr>
      <w:tr>
        <w:tc>
          <w:tcPr>
            <w:shd w:fill="F2F2F2" w:val="clear"/>
            <w:tcMar>
              <w:top w:type="dxa" w:w="60"/>
              <w:left w:type="dxa" w:w="100"/>
              <w:bottom w:type="dxa" w:w="60"/>
              <w:right w:type="dxa" w:w="100"/>
            </w:tcMar>
            <w:vAlign w:val="center"/>
          </w:tcPr>
          <w:p>
            <w:pPr>
              <w:jc w:val="left"/>
            </w:pPr>
            <w:r>
              <w:rPr>
                <w:rFonts w:ascii="Arial" w:cs="Arial" w:eastAsia="Arial" w:hAnsi="Arial"/>
                <w:b/>
                <w:bCs/>
                <w:color w:val="000000"/>
                <w:sz w:val="19"/>
                <w:szCs w:val="19"/>
              </w:rPr>
              <w:t xml:space="preserve">Total de contratos precificados</w:t>
            </w:r>
          </w:p>
        </w:tc>
        <w:tc>
          <w:tcPr>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108 (3 cidades × 6 meses × 6 strikes)</w:t>
            </w:r>
          </w:p>
        </w:tc>
      </w:tr>
    </w:tbl>
    <w:p>
      <w:pPr>
        <w:spacing w:after="160" w:line="300"/>
        <w:jc w:val="both"/>
      </w:pPr>
      <w:r>
        <w:rPr>
          <w:rFonts w:ascii="Arial" w:cs="Arial" w:eastAsia="Arial" w:hAnsi="Arial"/>
          <w:sz w:val="21"/>
          <w:szCs w:val="21"/>
        </w:rPr>
        <w:t xml:space="preserve"/>
      </w:r>
    </w:p>
    <w:p>
      <w:pPr>
        <w:spacing w:after="160" w:line="300"/>
        <w:jc w:val="both"/>
      </w:pPr>
      <w:r>
        <w:rPr>
          <w:rFonts w:ascii="Arial" w:cs="Arial" w:eastAsia="Arial" w:hAnsi="Arial"/>
          <w:sz w:val="21"/>
          <w:szCs w:val="21"/>
        </w:rPr>
        <w:t xml:space="preserve">3.1 Racional dos strikes relativos à climatologia</w:t>
      </w:r>
    </w:p>
    <w:p>
      <w:pPr>
        <w:spacing w:after="160" w:line="300"/>
        <w:jc w:val="both"/>
      </w:pPr>
      <w:r>
        <w:rPr>
          <w:rFonts w:ascii="Arial" w:cs="Arial" w:eastAsia="Arial" w:hAnsi="Arial"/>
          <w:sz w:val="21"/>
          <w:szCs w:val="21"/>
        </w:rPr>
        <w:t xml:space="preserve">Diferente de um strike fixo em milímetros (ex.: "50mm"), os strikes foram definidos como percentuais da média histórica de chuva de cada mês específico. Isso evita a distorção de um contrato de setembro (mês naturalmente seco, ~55mm de média) e um contrato de janeiro (mês naturalmente chuvoso, ~265mm de média) usarem o mesmo referencial absoluto — o que tornaria o contrato de setembro quase sempre acionado (prêmio proibitivo) e o de janeiro quase nunca (prêmio artificialmente barato, sem relação com risco real).</w:t>
      </w:r>
    </w:p>
    <w:p>
      <w:pPr>
        <w:pStyle w:val="Heading1"/>
        <w:spacing w:after="150" w:before="300"/>
      </w:pPr>
      <w:r>
        <w:rPr>
          <w:rFonts w:ascii="Arial" w:cs="Arial" w:eastAsia="Arial" w:hAnsi="Arial"/>
          <w:b/>
          <w:bCs/>
          <w:color w:val="1F3864"/>
        </w:rPr>
        <w:t xml:space="preserve">4. Metodologia de Precificação</w:t>
      </w:r>
    </w:p>
    <w:p>
      <w:pPr>
        <w:spacing w:after="160" w:line="300"/>
        <w:jc w:val="both"/>
      </w:pPr>
      <w:r>
        <w:rPr>
          <w:rFonts w:ascii="Arial" w:cs="Arial" w:eastAsia="Arial" w:hAnsi="Arial"/>
          <w:sz w:val="21"/>
          <w:szCs w:val="21"/>
        </w:rPr>
        <w:t xml:space="preserve">4.1 Historical Burn Analysis (HBA)</w:t>
      </w:r>
    </w:p>
    <w:p>
      <w:pPr>
        <w:spacing w:after="160" w:line="300"/>
        <w:jc w:val="both"/>
      </w:pPr>
      <w:r>
        <w:rPr>
          <w:rFonts w:ascii="Arial" w:cs="Arial" w:eastAsia="Arial" w:hAnsi="Arial"/>
          <w:sz w:val="21"/>
          <w:szCs w:val="21"/>
        </w:rPr>
        <w:t xml:space="preserve">Método atuarial padrão da indústria de derivativos climáticos (Cabrera, Odening &amp; Ritter, 2013, "Pricing Rainfall Futures at the CME", Journal of Banking &amp; Finance). Para cada combinação cidade/mês/strike, calcula-se o payoff que o contrato teria gerado em cada um dos 36 anos históricos, e o prêmio bruto é a média desses payoffs:</w:t>
      </w:r>
    </w:p>
    <w:p>
      <w:pPr>
        <w:spacing w:after="160" w:line="300"/>
        <w:jc w:val="both"/>
      </w:pPr>
      <w:r>
        <w:rPr>
          <w:rFonts w:ascii="Courier New" w:cs="Courier New" w:eastAsia="Courier New" w:hAnsi="Courier New"/>
          <w:i/>
          <w:iCs/>
          <w:sz w:val="21"/>
          <w:szCs w:val="21"/>
        </w:rPr>
        <w:t xml:space="preserve">Payoffₜ = Tick × min(Cap, max(0, Strike − Chuvaₜ))</w:t>
      </w:r>
    </w:p>
    <w:p>
      <w:pPr>
        <w:spacing w:after="160" w:line="300"/>
        <w:jc w:val="both"/>
      </w:pPr>
      <w:r>
        <w:rPr>
          <w:rFonts w:ascii="Arial" w:cs="Arial" w:eastAsia="Arial" w:hAnsi="Arial"/>
          <w:sz w:val="21"/>
          <w:szCs w:val="21"/>
        </w:rPr>
        <w:t xml:space="preserve">4.2 Monte Carlo com distribuição Gamma</w:t>
      </w:r>
    </w:p>
    <w:p>
      <w:pPr>
        <w:spacing w:after="160" w:line="300"/>
        <w:jc w:val="both"/>
      </w:pPr>
      <w:r>
        <w:rPr>
          <w:rFonts w:ascii="Arial" w:cs="Arial" w:eastAsia="Arial" w:hAnsi="Arial"/>
          <w:sz w:val="21"/>
          <w:szCs w:val="21"/>
        </w:rPr>
        <w:t xml:space="preserve">Para cada mês, ajusta-se uma distribuição Gamma por máxima verossimilhança à série histórica de chuva daquele mês — escolha padrão na literatura de precificação de chuva por capturar a assimetria positiva e a cauda pesada característica de dados de precipitação. Em meses com alta frequência de valores próximos de zero (fração de meses "secos" acima de 15%), aplica-se um modelo hurdle: a probabilidade de mês seco é modelada separadamente, e a Gamma é ajustada apenas à parte condicional em chuva positiva. Simulam-se 50.000 trajetórias por combinação cidade/mês, e o prêmio bruto é a média dos payoffs simulados.</w:t>
      </w:r>
    </w:p>
    <w:p>
      <w:pPr>
        <w:spacing w:after="160" w:line="300"/>
        <w:jc w:val="both"/>
      </w:pPr>
      <w:r>
        <w:rPr>
          <w:rFonts w:ascii="Arial" w:cs="Arial" w:eastAsia="Arial" w:hAnsi="Arial"/>
          <w:sz w:val="21"/>
          <w:szCs w:val="21"/>
        </w:rPr>
        <w:t xml:space="preserve">4.3 Prêmio comercial</w:t>
      </w:r>
    </w:p>
    <w:p>
      <w:pPr>
        <w:spacing w:after="160" w:line="300"/>
        <w:jc w:val="both"/>
      </w:pPr>
      <w:r>
        <w:rPr>
          <w:rFonts w:ascii="Courier New" w:cs="Courier New" w:eastAsia="Courier New" w:hAnsi="Courier New"/>
          <w:i/>
          <w:iCs/>
          <w:sz w:val="21"/>
          <w:szCs w:val="21"/>
        </w:rPr>
        <w:t xml:space="preserve">Prêmio = Payoff Esperado × (1 + Carga de Risco) × Fator de Desconto</w:t>
      </w:r>
    </w:p>
    <w:p>
      <w:pPr>
        <w:spacing w:after="160" w:line="300"/>
        <w:jc w:val="both"/>
      </w:pPr>
      <w:r>
        <w:rPr>
          <w:rFonts w:ascii="Arial" w:cs="Arial" w:eastAsia="Arial" w:hAnsi="Arial"/>
          <w:sz w:val="21"/>
          <w:szCs w:val="21"/>
        </w:rPr>
        <w:t xml:space="preserve">A carga de risco (20%) remunera o vendedor do contrato pela variância do payoff (risk loading), prática padrão em precificação atuarial e de seguros paramétricos. O fator de desconto original desta seção usava uma taxa única como proxy de custo de capital; a Seção 9.1 documenta a evolução para uma curva de juros futura com taxa específica por vencimento, adotada na versão atual do motor.</w:t>
      </w:r>
    </w:p>
    <w:p>
      <w:pPr>
        <w:spacing w:after="160" w:line="300"/>
        <w:jc w:val="both"/>
      </w:pPr>
      <w:r>
        <w:rPr>
          <w:rFonts w:ascii="Arial" w:cs="Arial" w:eastAsia="Arial" w:hAnsi="Arial"/>
          <w:sz w:val="21"/>
          <w:szCs w:val="21"/>
        </w:rPr>
        <w:t xml:space="preserve">4.4 Por que nenhum parâmetro foi otimizado sobre o próprio resultado</w:t>
      </w:r>
    </w:p>
    <w:p>
      <w:pPr>
        <w:spacing w:after="160" w:line="300"/>
        <w:jc w:val="both"/>
      </w:pPr>
      <w:r>
        <w:rPr>
          <w:rFonts w:ascii="Arial" w:cs="Arial" w:eastAsia="Arial" w:hAnsi="Arial"/>
          <w:sz w:val="21"/>
          <w:szCs w:val="21"/>
        </w:rPr>
        <w:t xml:space="preserve">Diferente de uma versão anterior do motor (que usava grid search sobre 144 combinações de parâmetros bioclimáticos, maximizando o R² in-sample), o motor final desta fase paramétrica não otimiza nenhum parâmetro contra o resultado do próprio modelo. Os strikes são definidos por percentuais redondos e documentáveis da climatologia; o tick, o cap, a carga de risco e a taxa de desconto são parâmetros de negócio explícitos, não ajustados estatisticamente. Essa disciplina metodológica — motivada diretamente pelo overfitting identificado na fase anterior do projeto — é o que torna este número de prêmio auditável e defensável perante um comprador ou uma mesa de risco.</w:t>
      </w:r>
    </w:p>
    <w:p>
      <w:pPr>
        <w:pStyle w:val="Heading1"/>
        <w:spacing w:after="150" w:before="300"/>
      </w:pPr>
      <w:r>
        <w:rPr>
          <w:rFonts w:ascii="Arial" w:cs="Arial" w:eastAsia="Arial" w:hAnsi="Arial"/>
          <w:b/>
          <w:bCs/>
          <w:color w:val="1F3864"/>
        </w:rPr>
        <w:t xml:space="preserve">5. Resultados Principais</w:t>
      </w:r>
    </w:p>
    <w:p>
      <w:pPr>
        <w:spacing w:after="160" w:line="300"/>
        <w:jc w:val="both"/>
      </w:pPr>
      <w:r>
        <w:rPr>
          <w:rFonts w:ascii="Arial" w:cs="Arial" w:eastAsia="Arial" w:hAnsi="Arial"/>
          <w:sz w:val="21"/>
          <w:szCs w:val="21"/>
        </w:rPr>
        <w:t xml:space="preserve">5.1 Contratos da fase reprodutiva crítica (Janeiro, strike 50%)</w:t>
      </w:r>
    </w:p>
    <w:p>
      <w:pPr>
        <w:spacing w:after="160" w:line="300"/>
        <w:jc w:val="both"/>
      </w:pPr>
      <w:r>
        <w:rPr>
          <w:rFonts w:ascii="Arial" w:cs="Arial" w:eastAsia="Arial" w:hAnsi="Arial"/>
          <w:sz w:val="21"/>
          <w:szCs w:val="21"/>
        </w:rPr>
        <w:t xml:space="preserve">A fase reprodutiva (R1–R6) da soja no Nortão de MT concentra-se em janeiro-fevereiro, período de maior sensibilidade da cultura a déficit hídrico. Para o strike de 50% da climatologia, os prêmios mensais nas três cidades: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500"/>
      </w:tblGrid>
      <w:tr>
        <w:tc>
          <w:tcPr>
            <w:shd w:fill="375623"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Cidade</w:t>
            </w:r>
          </w:p>
        </w:tc>
        <w:tc>
          <w:tcPr>
            <w:shd w:fill="375623"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Chuva média (mm)</w:t>
            </w:r>
          </w:p>
        </w:tc>
        <w:tc>
          <w:tcPr>
            <w:shd w:fill="375623"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Strike (mm)</w:t>
            </w:r>
          </w:p>
        </w:tc>
        <w:tc>
          <w:tcPr>
            <w:shd w:fill="375623"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Prob. acionamento</w:t>
            </w:r>
          </w:p>
        </w:tc>
        <w:tc>
          <w:tcPr>
            <w:shd w:fill="375623"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Prêmio médio</w:t>
            </w:r>
          </w:p>
        </w:tc>
      </w:tr>
      <w:tr>
        <w:tc>
          <w:tcPr>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Sorriso</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264,8</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132,4</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8,8%</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R$ 542,03</w:t>
            </w:r>
          </w:p>
        </w:tc>
      </w:tr>
      <w:tr>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Sinop</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264,9</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132,5</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7,4%</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R$ 430,01</w:t>
            </w:r>
          </w:p>
        </w:tc>
      </w:tr>
      <w:tr>
        <w:tc>
          <w:tcPr>
            <w:shd w:fill="E2EFD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Lucas do Rio Verde</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276,9</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138,4</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9,5%</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R$ 633,39</w:t>
            </w:r>
          </w:p>
        </w:tc>
      </w:tr>
    </w:tbl>
    <w:p>
      <w:pPr>
        <w:spacing w:after="160" w:line="300"/>
        <w:jc w:val="both"/>
      </w:pPr>
      <w:r>
        <w:rPr>
          <w:rFonts w:ascii="Arial" w:cs="Arial" w:eastAsia="Arial" w:hAnsi="Arial"/>
          <w:sz w:val="21"/>
          <w:szCs w:val="21"/>
        </w:rPr>
        <w:t xml:space="preserve"/>
      </w:r>
    </w:p>
    <w:p>
      <w:pPr>
        <w:spacing w:after="160" w:line="300"/>
        <w:jc w:val="both"/>
      </w:pPr>
      <w:r>
        <w:rPr>
          <w:rFonts w:ascii="Arial" w:cs="Arial" w:eastAsia="Arial" w:hAnsi="Arial"/>
          <w:sz w:val="21"/>
          <w:szCs w:val="21"/>
        </w:rPr>
        <w:t xml:space="preserve">5.2 Curva de prêmios ao longo da safra (strike 50%, média das 3 cidades)</w:t>
      </w:r>
    </w:p>
    <w:p>
      <w:pPr>
        <w:spacing w:after="160" w:line="300"/>
        <w:jc w:val="both"/>
      </w:pPr>
      <w:r>
        <w:rPr>
          <w:rFonts w:ascii="Arial" w:cs="Arial" w:eastAsia="Arial" w:hAnsi="Arial"/>
          <w:sz w:val="21"/>
          <w:szCs w:val="21"/>
        </w:rPr>
        <w:t xml:space="preserve">O prêmio varia fortemente por mês, refletindo a climatologia local — setembro (início do plantio, mês naturalmente seco) apresenta a maior probabilidade de acionamento e o maior prêmio, mesmo com o mesmo strike relativo de 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000"/>
      </w:tblGrid>
      <w:tr>
        <w:tc>
          <w:tcPr>
            <w:shd w:fill="C55A11"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Mês</w:t>
            </w:r>
          </w:p>
        </w:tc>
        <w:tc>
          <w:tcPr>
            <w:shd w:fill="C55A11"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Fase fenológica</w:t>
            </w:r>
          </w:p>
        </w:tc>
        <w:tc>
          <w:tcPr>
            <w:shd w:fill="C55A11"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Prêmio médio (R$)</w:t>
            </w:r>
          </w:p>
        </w:tc>
        <w:tc>
          <w:tcPr>
            <w:shd w:fill="C55A11"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Prob. acionamento</w:t>
            </w:r>
          </w:p>
        </w:tc>
      </w:tr>
      <w:tr>
        <w:tc>
          <w:tcPr>
            <w:shd w:fill="FBE4D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Setembro</w:t>
            </w:r>
          </w:p>
        </w:tc>
        <w:tc>
          <w:tcPr>
            <w:shd w:fill="FBE4D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Plantio</w:t>
            </w:r>
          </w:p>
        </w:tc>
        <w:tc>
          <w:tcPr>
            <w:shd w:fill="FBE4D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622,89</w:t>
            </w:r>
          </w:p>
        </w:tc>
        <w:tc>
          <w:tcPr>
            <w:shd w:fill="FBE4D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29,5%</w:t>
            </w:r>
          </w:p>
        </w:tc>
      </w:tr>
      <w:tr>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Outubro</w:t>
            </w:r>
          </w:p>
        </w:tc>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Emergência/Vegetativo</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149,01</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4,2%</w:t>
            </w:r>
          </w:p>
        </w:tc>
      </w:tr>
      <w:tr>
        <w:tc>
          <w:tcPr>
            <w:shd w:fill="FBE4D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Novembro</w:t>
            </w:r>
          </w:p>
        </w:tc>
        <w:tc>
          <w:tcPr>
            <w:shd w:fill="FBE4D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Vegetativo</w:t>
            </w:r>
          </w:p>
        </w:tc>
        <w:tc>
          <w:tcPr>
            <w:shd w:fill="FBE4D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183,20</w:t>
            </w:r>
          </w:p>
        </w:tc>
        <w:tc>
          <w:tcPr>
            <w:shd w:fill="FBE4D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4,7%</w:t>
            </w:r>
          </w:p>
        </w:tc>
      </w:tr>
      <w:tr>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Dezembro</w:t>
            </w:r>
          </w:p>
        </w:tc>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Veg./Início Reprodutivo</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113,80</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3,6%</w:t>
            </w:r>
          </w:p>
        </w:tc>
      </w:tr>
      <w:tr>
        <w:tc>
          <w:tcPr>
            <w:shd w:fill="FBE4D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Janeiro</w:t>
            </w:r>
          </w:p>
        </w:tc>
        <w:tc>
          <w:tcPr>
            <w:shd w:fill="FBE4D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Reprodutivo (R) — crítico</w:t>
            </w:r>
          </w:p>
        </w:tc>
        <w:tc>
          <w:tcPr>
            <w:shd w:fill="FBE4D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535,14</w:t>
            </w:r>
          </w:p>
        </w:tc>
        <w:tc>
          <w:tcPr>
            <w:shd w:fill="FBE4D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8,6%</w:t>
            </w:r>
          </w:p>
        </w:tc>
      </w:tr>
      <w:tr>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Fevereiro</w:t>
            </w:r>
          </w:p>
        </w:tc>
        <w:tc>
          <w:tcPr>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Reprodutivo (R) — crítico</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286,27</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4,9%</w:t>
            </w:r>
          </w:p>
        </w:tc>
      </w:tr>
    </w:tbl>
    <w:p>
      <w:pPr>
        <w:spacing w:after="160" w:line="300"/>
        <w:jc w:val="both"/>
      </w:pPr>
      <w:r>
        <w:rPr>
          <w:rFonts w:ascii="Arial" w:cs="Arial" w:eastAsia="Arial" w:hAnsi="Arial"/>
          <w:sz w:val="21"/>
          <w:szCs w:val="21"/>
        </w:rPr>
        <w:t xml:space="preserve"/>
      </w:r>
    </w:p>
    <w:p>
      <w:pPr>
        <w:spacing w:after="160" w:line="300"/>
        <w:jc w:val="both"/>
      </w:pPr>
      <w:r>
        <w:rPr>
          <w:rFonts w:ascii="Arial" w:cs="Arial" w:eastAsia="Arial" w:hAnsi="Arial"/>
          <w:sz w:val="21"/>
          <w:szCs w:val="21"/>
        </w:rPr>
        <w:t xml:space="preserve">A cadeia completa de 108 contratos (todas as cidades, meses e strikes) está detalhada na planilha Excel anexa a este memorial, na aba "Cadeia de Strikes".</w:t>
      </w:r>
    </w:p>
    <w:p>
      <w:pPr>
        <w:pStyle w:val="Heading1"/>
        <w:spacing w:after="150" w:before="300"/>
      </w:pPr>
      <w:r>
        <w:rPr>
          <w:rFonts w:ascii="Arial" w:cs="Arial" w:eastAsia="Arial" w:hAnsi="Arial"/>
          <w:b/>
          <w:bCs/>
          <w:color w:val="1F3864"/>
        </w:rPr>
        <w:t xml:space="preserve">6. Basis Risk e Limitações</w:t>
      </w:r>
    </w:p>
    <w:p>
      <w:pPr>
        <w:spacing w:after="160" w:line="300"/>
        <w:jc w:val="both"/>
      </w:pPr>
      <w:r>
        <w:rPr>
          <w:rFonts w:ascii="Arial" w:cs="Arial" w:eastAsia="Arial" w:hAnsi="Arial"/>
          <w:sz w:val="21"/>
          <w:szCs w:val="21"/>
        </w:rPr>
        <w:t xml:space="preserve">O basis risk deste produto — a possibilidade de o índice climático (chuva) divergir do resultado real da lavoura (produtividade) — é uma característica de design reconhecida e documentada, não uma falha oculta. A análise conduzida na fase anterior do projeto (detalhada na Seção 2) estabeleceu que a correlação entre chuva municipal e choque de produtividade municipal, fora da amostra, é de aproximadamente R² = 0,06 — baixa o suficiente para inviabilizar um derivativo indexado à produtividade estimada, mas irrelevante para a validade deste produto, cujo payoff depende exclusivamente do índice climático medido, não de uma previsão de produtividade.</w:t>
      </w:r>
    </w:p>
    <w:p>
      <w:pPr>
        <w:spacing w:after="160" w:line="300"/>
        <w:jc w:val="both"/>
      </w:pPr>
      <w:r>
        <w:rPr>
          <w:rFonts w:ascii="Arial" w:cs="Arial" w:eastAsia="Arial" w:hAnsi="Arial"/>
          <w:sz w:val="21"/>
          <w:szCs w:val="21"/>
        </w:rPr>
        <w:t xml:space="preserve">Para o comprador (produtor), isso significa: o contrato paga de forma objetiva e verificável quando chove pouco, mas não garante que "chover pouco" e "a safra ir mal" sejam a mesma coisa em todo ano — outros fatores (pragas, doenças, veranicos não capturados pela agregação mensal, qualidade do solo do talhão específico) também afetam o resultado da lavoura. Este é o mesmo basis risk inerente a qualquer weather derivative negociado na CME, e é o motivo pelo qual esses produtos são hedges parciais, não seguros de produtividade.</w:t>
      </w:r>
    </w:p>
    <w:p>
      <w:pPr>
        <w:spacing w:after="160" w:line="300"/>
        <w:jc w:val="both"/>
      </w:pPr>
      <w:r>
        <w:rPr>
          <w:rFonts w:ascii="Arial" w:cs="Arial" w:eastAsia="Arial" w:hAnsi="Arial"/>
          <w:sz w:val="21"/>
          <w:szCs w:val="21"/>
        </w:rPr>
        <w:t xml:space="preserve">Outras limitações documentadas:</w:t>
      </w:r>
    </w:p>
    <w:p>
      <w:pPr>
        <w:pStyle w:val="ListParagraph"/>
        <w:numPr>
          <w:ilvl w:val="0"/>
          <w:numId w:val="1"/>
        </w:numPr>
        <w:spacing w:after="90"/>
      </w:pPr>
      <w:r>
        <w:rPr>
          <w:rFonts w:ascii="Arial" w:cs="Arial" w:eastAsia="Arial" w:hAnsi="Arial"/>
          <w:sz w:val="21"/>
          <w:szCs w:val="21"/>
        </w:rPr>
        <w:t xml:space="preserve">Fonte de precipitação (NASA POWER) é um produto de reanálise em grade (~0,5°), não uma estação pontual na fazenda — introduz um segundo nível de basis risk espacial;</w:t>
      </w:r>
    </w:p>
    <w:p>
      <w:pPr>
        <w:pStyle w:val="ListParagraph"/>
        <w:numPr>
          <w:ilvl w:val="0"/>
          <w:numId w:val="1"/>
        </w:numPr>
        <w:spacing w:after="90"/>
      </w:pPr>
      <w:r>
        <w:rPr>
          <w:rFonts w:ascii="Arial" w:cs="Arial" w:eastAsia="Arial" w:hAnsi="Arial"/>
          <w:sz w:val="21"/>
          <w:szCs w:val="21"/>
        </w:rPr>
        <w:t xml:space="preserve">Curve Number por cidade foi estimado a partir de classificação de solo regional (mapas EMBRAPA), não de levantamento pedológico do talhão específico;</w:t>
      </w:r>
    </w:p>
    <w:p>
      <w:pPr>
        <w:pStyle w:val="ListParagraph"/>
        <w:numPr>
          <w:ilvl w:val="0"/>
          <w:numId w:val="1"/>
        </w:numPr>
        <w:spacing w:after="90"/>
      </w:pPr>
      <w:r>
        <w:rPr>
          <w:rFonts w:ascii="Arial" w:cs="Arial" w:eastAsia="Arial" w:hAnsi="Arial"/>
          <w:sz w:val="21"/>
          <w:szCs w:val="21"/>
        </w:rPr>
        <w:t xml:space="preserve">O período de safra (set-fev) e as fases fenológicas foram parametrizados para o padrão regional do Nortão de MT — cultivares de ciclo distinto exigiriam recalibração.</w:t>
      </w:r>
    </w:p>
    <w:p>
      <w:pPr>
        <w:pStyle w:val="Heading1"/>
        <w:spacing w:after="150" w:before="300"/>
      </w:pPr>
      <w:r>
        <w:rPr>
          <w:rFonts w:ascii="Arial" w:cs="Arial" w:eastAsia="Arial" w:hAnsi="Arial"/>
          <w:b/>
          <w:bCs/>
          <w:color w:val="1F3864"/>
        </w:rPr>
        <w:t xml:space="preserve">7. Próximas Fases</w:t>
      </w:r>
    </w:p>
    <w:p>
      <w:pPr>
        <w:spacing w:after="160" w:line="300"/>
        <w:jc w:val="both"/>
      </w:pPr>
      <w:r>
        <w:rPr>
          <w:rFonts w:ascii="Arial" w:cs="Arial" w:eastAsia="Arial" w:hAnsi="Arial"/>
          <w:sz w:val="21"/>
          <w:szCs w:val="21"/>
        </w:rPr>
        <w:t xml:space="preserve">A planilha Excel entregue junto a este memorial reserva uma aba ("Próximas Fases") estruturada para receber, sem necessidade de redesenho, as seguintes expansões já mapeadas:</w:t>
      </w:r>
    </w:p>
    <w:p>
      <w:pPr>
        <w:pStyle w:val="ListParagraph"/>
        <w:numPr>
          <w:ilvl w:val="0"/>
          <w:numId w:val="1"/>
        </w:numPr>
        <w:spacing w:after="90"/>
      </w:pPr>
      <w:r>
        <w:rPr>
          <w:rFonts w:ascii="Arial" w:cs="Arial" w:eastAsia="Arial" w:hAnsi="Arial"/>
          <w:sz w:val="21"/>
          <w:szCs w:val="21"/>
        </w:rPr>
        <w:t xml:space="preserve">Fase 2 — Atualização diária automática dos dados meteorológicos e repricing contínuo dos contratos da safra corrente;</w:t>
      </w:r>
    </w:p>
    <w:p>
      <w:pPr>
        <w:pStyle w:val="ListParagraph"/>
        <w:numPr>
          <w:ilvl w:val="0"/>
          <w:numId w:val="1"/>
        </w:numPr>
        <w:spacing w:after="90"/>
      </w:pPr>
      <w:r>
        <w:rPr>
          <w:rFonts w:ascii="Arial" w:cs="Arial" w:eastAsia="Arial" w:hAnsi="Arial"/>
          <w:sz w:val="21"/>
          <w:szCs w:val="21"/>
        </w:rPr>
        <w:t xml:space="preserve">Fase 3 — Índice de talhão via NDVI/EVI (Sentinel-2, Google Earth Engine) para reduzir o basis risk espacial, complementando (não substituindo) o índice de chuva;</w:t>
      </w:r>
    </w:p>
    <w:p>
      <w:pPr>
        <w:pStyle w:val="ListParagraph"/>
        <w:numPr>
          <w:ilvl w:val="0"/>
          <w:numId w:val="1"/>
        </w:numPr>
        <w:spacing w:after="90"/>
      </w:pPr>
      <w:r>
        <w:rPr>
          <w:rFonts w:ascii="Arial" w:cs="Arial" w:eastAsia="Arial" w:hAnsi="Arial"/>
          <w:sz w:val="21"/>
          <w:szCs w:val="21"/>
        </w:rPr>
        <w:t xml:space="preserve">Fase 4 — Curva de prêmios em tempo real (mark-to-market intra-safra), combinando as Fases 2 e 3;</w:t>
      </w:r>
    </w:p>
    <w:p>
      <w:pPr>
        <w:pStyle w:val="ListParagraph"/>
        <w:numPr>
          <w:ilvl w:val="0"/>
          <w:numId w:val="1"/>
        </w:numPr>
        <w:spacing w:after="90"/>
      </w:pPr>
      <w:r>
        <w:rPr>
          <w:rFonts w:ascii="Arial" w:cs="Arial" w:eastAsia="Arial" w:hAnsi="Arial"/>
          <w:sz w:val="21"/>
          <w:szCs w:val="21"/>
        </w:rPr>
        <w:t xml:space="preserve">Fase 5 — Estrutura de camadas (multi-layer payout) e desenho de resseguro/retrocessão da carteira de contratos vendidos.</w:t>
      </w:r>
    </w:p>
    <w:p>
      <w:pPr>
        <w:pStyle w:val="Heading1"/>
        <w:spacing w:after="150" w:before="300"/>
      </w:pPr>
      <w:r>
        <w:rPr>
          <w:rFonts w:ascii="Arial" w:cs="Arial" w:eastAsia="Arial" w:hAnsi="Arial"/>
          <w:b/>
          <w:bCs/>
          <w:color w:val="1F3864"/>
        </w:rPr>
        <w:t xml:space="preserve">8. Fontes de Dados e Literatura</w:t>
      </w:r>
    </w:p>
    <w:p>
      <w:pPr>
        <w:spacing w:after="160" w:line="300"/>
        <w:jc w:val="both"/>
      </w:pPr>
      <w:r>
        <w:rPr>
          <w:rFonts w:ascii="Arial" w:cs="Arial" w:eastAsia="Arial" w:hAnsi="Arial"/>
          <w:sz w:val="21"/>
          <w:szCs w:val="21"/>
        </w:rPr>
        <w:t xml:space="preserve">8.1 Dados</w:t>
      </w:r>
    </w:p>
    <w:p>
      <w:pPr>
        <w:pStyle w:val="ListParagraph"/>
        <w:numPr>
          <w:ilvl w:val="0"/>
          <w:numId w:val="1"/>
        </w:numPr>
        <w:spacing w:after="90"/>
      </w:pPr>
      <w:r>
        <w:rPr>
          <w:rFonts w:ascii="Arial" w:cs="Arial" w:eastAsia="Arial" w:hAnsi="Arial"/>
          <w:sz w:val="21"/>
          <w:szCs w:val="21"/>
        </w:rPr>
        <w:t xml:space="preserve">Precipitação e variáveis climáticas diárias: NASA POWER (power.larc.nasa.gov), 1990–2026, Sorriso/Sinop/Lucas do Rio Verde.</w:t>
      </w:r>
    </w:p>
    <w:p>
      <w:pPr>
        <w:pStyle w:val="ListParagraph"/>
        <w:numPr>
          <w:ilvl w:val="0"/>
          <w:numId w:val="1"/>
        </w:numPr>
        <w:spacing w:after="90"/>
      </w:pPr>
      <w:r>
        <w:rPr>
          <w:rFonts w:ascii="Arial" w:cs="Arial" w:eastAsia="Arial" w:hAnsi="Arial"/>
          <w:sz w:val="21"/>
          <w:szCs w:val="21"/>
        </w:rPr>
        <w:t xml:space="preserve">Produtividade agrícola municipal: IBGE, Produção Agrícola Municipal (PAM), tabela 1612, 1990–2024.</w:t>
      </w:r>
    </w:p>
    <w:p>
      <w:pPr>
        <w:pStyle w:val="ListParagraph"/>
        <w:numPr>
          <w:ilvl w:val="0"/>
          <w:numId w:val="1"/>
        </w:numPr>
        <w:spacing w:after="90"/>
      </w:pPr>
      <w:r>
        <w:rPr>
          <w:rFonts w:ascii="Arial" w:cs="Arial" w:eastAsia="Arial" w:hAnsi="Arial"/>
          <w:sz w:val="21"/>
          <w:szCs w:val="21"/>
        </w:rPr>
        <w:t xml:space="preserve">Preço da soja: CEPEA/ESALQ, indicador Paranaguá, 2006–2026.</w:t>
      </w:r>
    </w:p>
    <w:p>
      <w:pPr>
        <w:pStyle w:val="ListParagraph"/>
        <w:numPr>
          <w:ilvl w:val="0"/>
          <w:numId w:val="1"/>
        </w:numPr>
        <w:spacing w:after="90"/>
      </w:pPr>
      <w:r>
        <w:rPr>
          <w:rFonts w:ascii="Arial" w:cs="Arial" w:eastAsia="Arial" w:hAnsi="Arial"/>
          <w:sz w:val="21"/>
          <w:szCs w:val="21"/>
        </w:rPr>
        <w:t xml:space="preserve">Fertilizantes: ANDA, Principais Indicadores do Setor de Fertilizantes, 2013–2026.</w:t>
      </w:r>
    </w:p>
    <w:p>
      <w:pPr>
        <w:pStyle w:val="ListParagraph"/>
        <w:numPr>
          <w:ilvl w:val="0"/>
          <w:numId w:val="1"/>
        </w:numPr>
        <w:spacing w:after="90"/>
      </w:pPr>
      <w:r>
        <w:rPr>
          <w:rFonts w:ascii="Arial" w:cs="Arial" w:eastAsia="Arial" w:hAnsi="Arial"/>
          <w:sz w:val="21"/>
          <w:szCs w:val="21"/>
        </w:rPr>
        <w:t xml:space="preserve">Solos: EMBRAPA Agrossilvipastoril (Sinop-MT); mapa de reconhecimento de solos MIR.339 (SEPLAN-MT/EMBRAPA).</w:t>
      </w:r>
    </w:p>
    <w:p>
      <w:pPr>
        <w:pStyle w:val="ListParagraph"/>
        <w:numPr>
          <w:ilvl w:val="0"/>
          <w:numId w:val="1"/>
        </w:numPr>
        <w:spacing w:after="90"/>
      </w:pPr>
      <w:r>
        <w:rPr>
          <w:rFonts w:ascii="Arial" w:cs="Arial" w:eastAsia="Arial" w:hAnsi="Arial"/>
          <w:sz w:val="21"/>
          <w:szCs w:val="21"/>
        </w:rPr>
        <w:t xml:space="preserve">Curva de juros futura: ANBIMA, Estrutura a Termo de Taxas de Juros, curva PREFIXADOS (Circular 3.361), ref. 11/08/2026.</w:t>
      </w:r>
    </w:p>
    <w:p>
      <w:pPr>
        <w:pStyle w:val="ListParagraph"/>
        <w:numPr>
          <w:ilvl w:val="0"/>
          <w:numId w:val="1"/>
        </w:numPr>
        <w:spacing w:after="90"/>
      </w:pPr>
      <w:r>
        <w:rPr>
          <w:rFonts w:ascii="Arial" w:cs="Arial" w:eastAsia="Arial" w:hAnsi="Arial"/>
          <w:sz w:val="21"/>
          <w:szCs w:val="21"/>
        </w:rPr>
        <w:t xml:space="preserve">Taxa Selic: Banco Central do Brasil, Copom, reunião de 05–06/08/2026 (14,00% a.a.).</w:t>
      </w:r>
    </w:p>
    <w:p>
      <w:pPr>
        <w:spacing w:after="160" w:line="300"/>
        <w:jc w:val="both"/>
      </w:pPr>
      <w:r>
        <w:rPr>
          <w:rFonts w:ascii="Arial" w:cs="Arial" w:eastAsia="Arial" w:hAnsi="Arial"/>
          <w:sz w:val="21"/>
          <w:szCs w:val="21"/>
        </w:rPr>
        <w:t xml:space="preserve">8.2 Literatura de precificação e agronomia</w:t>
      </w:r>
    </w:p>
    <w:p>
      <w:pPr>
        <w:pStyle w:val="ListParagraph"/>
        <w:numPr>
          <w:ilvl w:val="0"/>
          <w:numId w:val="1"/>
        </w:numPr>
        <w:spacing w:after="90"/>
      </w:pPr>
      <w:r>
        <w:rPr>
          <w:rFonts w:ascii="Arial" w:cs="Arial" w:eastAsia="Arial" w:hAnsi="Arial"/>
          <w:sz w:val="21"/>
          <w:szCs w:val="21"/>
        </w:rPr>
        <w:t xml:space="preserve">Cabrera, B.L., Odening, M., Ritter, M. (2013). "Pricing rainfall futures at the CME". Journal of Banking &amp; Finance, 37(11).</w:t>
      </w:r>
    </w:p>
    <w:p>
      <w:pPr>
        <w:pStyle w:val="ListParagraph"/>
        <w:numPr>
          <w:ilvl w:val="0"/>
          <w:numId w:val="1"/>
        </w:numPr>
        <w:spacing w:after="90"/>
      </w:pPr>
      <w:r>
        <w:rPr>
          <w:rFonts w:ascii="Arial" w:cs="Arial" w:eastAsia="Arial" w:hAnsi="Arial"/>
          <w:sz w:val="21"/>
          <w:szCs w:val="21"/>
        </w:rPr>
        <w:t xml:space="preserve">CME Group. "Weather Products: Managing global weather exposures" (brochura institucional).</w:t>
      </w:r>
    </w:p>
    <w:p>
      <w:pPr>
        <w:pStyle w:val="ListParagraph"/>
        <w:numPr>
          <w:ilvl w:val="0"/>
          <w:numId w:val="1"/>
        </w:numPr>
        <w:spacing w:after="90"/>
      </w:pPr>
      <w:r>
        <w:rPr>
          <w:rFonts w:ascii="Arial" w:cs="Arial" w:eastAsia="Arial" w:hAnsi="Arial"/>
          <w:sz w:val="21"/>
          <w:szCs w:val="21"/>
        </w:rPr>
        <w:t xml:space="preserve">Kaur, G. et al. (2023). Estudos sobre resposta fisiológica e de rendimento da soja a estresse térmico e hídrico.</w:t>
      </w:r>
    </w:p>
    <w:p>
      <w:pPr>
        <w:pStyle w:val="ListParagraph"/>
        <w:numPr>
          <w:ilvl w:val="0"/>
          <w:numId w:val="1"/>
        </w:numPr>
        <w:spacing w:after="90"/>
      </w:pPr>
      <w:r>
        <w:rPr>
          <w:rFonts w:ascii="Arial" w:cs="Arial" w:eastAsia="Arial" w:hAnsi="Arial"/>
          <w:sz w:val="21"/>
          <w:szCs w:val="21"/>
        </w:rPr>
        <w:t xml:space="preserve">FAO Land &amp; Water — necessidade hídrica e coeficientes de cultura (Kc) da soja.</w:t>
      </w:r>
    </w:p>
    <w:p>
      <w:pPr>
        <w:pStyle w:val="ListParagraph"/>
        <w:numPr>
          <w:ilvl w:val="0"/>
          <w:numId w:val="1"/>
        </w:numPr>
        <w:spacing w:after="90"/>
      </w:pPr>
      <w:r>
        <w:rPr>
          <w:rFonts w:ascii="Arial" w:cs="Arial" w:eastAsia="Arial" w:hAnsi="Arial"/>
          <w:sz w:val="21"/>
          <w:szCs w:val="21"/>
        </w:rPr>
        <w:t xml:space="preserve">Lombardi Neto, F. et al. — classificação hidrológica de solos brasileiros (ABRH), base para estimativa de Curve Number.</w:t>
      </w:r>
    </w:p>
    <w:p>
      <w:pPr>
        <w:pStyle w:val="Heading1"/>
        <w:spacing w:after="150" w:before="300"/>
      </w:pPr>
      <w:r>
        <w:rPr>
          <w:rFonts w:ascii="Arial" w:cs="Arial" w:eastAsia="Arial" w:hAnsi="Arial"/>
          <w:b/>
          <w:bCs/>
          <w:color w:val="1F3864"/>
        </w:rPr>
        <w:t xml:space="preserve">9. Evolução do Motor — Versão 2</w:t>
      </w:r>
    </w:p>
    <w:p>
      <w:pPr>
        <w:spacing w:after="160" w:line="300"/>
        <w:jc w:val="both"/>
      </w:pPr>
      <w:r>
        <w:rPr>
          <w:rFonts w:ascii="Arial" w:cs="Arial" w:eastAsia="Arial" w:hAnsi="Arial"/>
          <w:sz w:val="21"/>
          <w:szCs w:val="21"/>
        </w:rPr>
        <w:t xml:space="preserve">Após a entrega da versão inicial, quatro melhorias foram implementadas, mantendo integralmente a arquitetura de contratos e a metodologia de precificação (HBA + Monte Carlo) já documentadas nas seções anteriores.</w:t>
      </w:r>
    </w:p>
    <w:p>
      <w:pPr>
        <w:spacing w:after="160" w:line="300"/>
        <w:jc w:val="both"/>
      </w:pPr>
      <w:r>
        <w:rPr>
          <w:rFonts w:ascii="Arial" w:cs="Arial" w:eastAsia="Arial" w:hAnsi="Arial"/>
          <w:sz w:val="21"/>
          <w:szCs w:val="21"/>
        </w:rPr>
        <w:t xml:space="preserve">9.1 Correção da taxa de desconto e curva de juros futura</w:t>
      </w:r>
    </w:p>
    <w:p>
      <w:pPr>
        <w:spacing w:after="160" w:line="300"/>
        <w:jc w:val="both"/>
      </w:pPr>
      <w:r>
        <w:rPr>
          <w:rFonts w:ascii="Arial" w:cs="Arial" w:eastAsia="Arial" w:hAnsi="Arial"/>
          <w:sz w:val="21"/>
          <w:szCs w:val="21"/>
        </w:rPr>
        <w:t xml:space="preserve">A taxa de desconto utilizada na versão inicial (10,75% a.a.) estava desatualizada — era a Selic vigente em 2022, não a atual. A Selic correta, confirmada junto ao Banco Central do Brasil, é de 14,00% a.a. (Copom, reunião de 5–6 de agosto de 2026, quarto corte consecutivo do ciclo iniciado em março de 2026).</w:t>
      </w:r>
    </w:p>
    <w:p>
      <w:pPr>
        <w:spacing w:after="160" w:line="300"/>
        <w:jc w:val="both"/>
      </w:pPr>
      <w:r>
        <w:rPr>
          <w:rFonts w:ascii="Arial" w:cs="Arial" w:eastAsia="Arial" w:hAnsi="Arial"/>
          <w:sz w:val="21"/>
          <w:szCs w:val="21"/>
        </w:rPr>
        <w:t xml:space="preserve">Mais relevante que a correção pontual foi a mudança metodológica: em vez de uma taxa spot única descontando todos os contratos da safra, cada contrato mensal passou a ser descontado pela taxa específica do seu próprio vencimento, extraída da Estrutura a Termo de Taxas de Juros (ETTJ) publicada diariamente pela ANBIMA a partir dos contratos de DI Futuro negociados na B3. A curva capturada (referência 11/08/2026) mostra taxas de 13,61% a 13,75% a.a. para os prazos de 1 a 6 meses relevantes a este produto — todas abaixo da Selic corrente, refletindo a expectativa do mercado de cortes graduais adicionais ao longo da safra. Essa é uma diferença metodológica não trivial: descontar um contrato de fevereiro pela mesma taxa de um contrato de setembro ignora a inclinação da curva de juros e introduz um viés sistemático na precificação.</w:t>
      </w:r>
    </w:p>
    <w:p>
      <w:pPr>
        <w:spacing w:after="160" w:line="300"/>
        <w:jc w:val="both"/>
      </w:pPr>
      <w:r>
        <w:rPr>
          <w:rFonts w:ascii="Arial" w:cs="Arial" w:eastAsia="Arial" w:hAnsi="Arial"/>
          <w:sz w:val="21"/>
          <w:szCs w:val="21"/>
        </w:rPr>
        <w:t xml:space="preserve">A fonte da curva (endpoint público da ANBIMA) retorna sempre o pregão mais recente publicado, sem necessidade de parâmetros de data — o que a torna adequada para atualização diária automatizada, ao contrário de outras fontes de dados utilizadas neste projeto (IBGE, NASA POWER, Google Earth Engine), que se mostraram bloqueadas para acesso automatizado nas ferramentas disponíveis.</w:t>
      </w:r>
    </w:p>
    <w:p>
      <w:pPr>
        <w:spacing w:after="160" w:line="300"/>
        <w:jc w:val="both"/>
      </w:pPr>
      <w:r>
        <w:rPr>
          <w:rFonts w:ascii="Arial" w:cs="Arial" w:eastAsia="Arial" w:hAnsi="Arial"/>
          <w:sz w:val="21"/>
          <w:szCs w:val="21"/>
        </w:rPr>
        <w:t xml:space="preserve">9.2 Modelo de safra rolante (crop-year roll)</w:t>
      </w:r>
    </w:p>
    <w:p>
      <w:pPr>
        <w:spacing w:after="160" w:line="300"/>
        <w:jc w:val="both"/>
      </w:pPr>
      <w:r>
        <w:rPr>
          <w:rFonts w:ascii="Arial" w:cs="Arial" w:eastAsia="Arial" w:hAnsi="Arial"/>
          <w:sz w:val="21"/>
          <w:szCs w:val="21"/>
        </w:rPr>
        <w:t xml:space="preserve">Foi implementado um ciclo de safra explícito — de março do ano Y a fevereiro do ano Y+1 — que determina automaticamente qual conjunto de 6 contratos (Setembro a Fevereiro) está ativo em um dado momento, e qual base histórica alimenta o HBA e o Monte Carlo. A regra de rolagem é deliberadamente conservadora: a safra em curso nunca integra sua própria base histórica antes de ser concluída, mesmo que parte dos seus meses já tenha ocorrido no calendário. Somente na virada de março do ano seguinte a safra recém-concluída passa a compor o histórico, e uma nova safra se torna ativa. Essa regra evita que o motor precifique um contrato futuro (ex.: fevereiro) usando, na mesma safra, um dado já realizado de um mês anterior (ex.: setembro) como se fosse histórico independente — o que constituiria uma forma sutil de contaminação de dados (look-ahead bias).</w:t>
      </w:r>
    </w:p>
    <w:p>
      <w:pPr>
        <w:spacing w:after="160" w:line="300"/>
        <w:jc w:val="both"/>
      </w:pPr>
      <w:r>
        <w:rPr>
          <w:rFonts w:ascii="Arial" w:cs="Arial" w:eastAsia="Arial" w:hAnsi="Arial"/>
          <w:sz w:val="21"/>
          <w:szCs w:val="21"/>
        </w:rPr>
        <w:t xml:space="preserve">9.3 Correção dos gráficos</w:t>
      </w:r>
    </w:p>
    <w:p>
      <w:pPr>
        <w:spacing w:after="160" w:line="300"/>
        <w:jc w:val="both"/>
      </w:pPr>
      <w:r>
        <w:rPr>
          <w:rFonts w:ascii="Arial" w:cs="Arial" w:eastAsia="Arial" w:hAnsi="Arial"/>
          <w:sz w:val="21"/>
          <w:szCs w:val="21"/>
        </w:rPr>
        <w:t xml:space="preserve">Os gráficos de prêmio por mês/strike e de climatologia mensal tiveram a exibição de eixos explicitada (valores numéricos com unidade — R$ e mm — no eixo vertical, nomes dos meses no eixo horizontal). O ajuste foi necessário porque o gerador de planilhas (openpyxl) nem sempre preserva a exibição padrão de eixos ao criar gráficos programaticamente — diferente de um gráfico criado manualmente no Excel, é preciso declarar explicitamente que os eixos não devem ser ocultados.</w:t>
      </w:r>
    </w:p>
    <w:p>
      <w:pPr>
        <w:spacing w:after="160" w:line="300"/>
        <w:jc w:val="both"/>
      </w:pPr>
      <w:r>
        <w:rPr>
          <w:rFonts w:ascii="Arial" w:cs="Arial" w:eastAsia="Arial" w:hAnsi="Arial"/>
          <w:sz w:val="21"/>
          <w:szCs w:val="21"/>
        </w:rPr>
        <w:t xml:space="preserve">9.4 Atualização diária: o que é automatizável e o que não é</w:t>
      </w:r>
    </w:p>
    <w:p>
      <w:pPr>
        <w:spacing w:after="160" w:line="300"/>
        <w:jc w:val="both"/>
      </w:pPr>
      <w:r>
        <w:rPr>
          <w:rFonts w:ascii="Arial" w:cs="Arial" w:eastAsia="Arial" w:hAnsi="Arial"/>
          <w:sz w:val="21"/>
          <w:szCs w:val="21"/>
        </w:rPr>
        <w:t xml:space="preserve">A tentativa de automatizar a atualização diária expôs uma assimetria real entre as duas fontes de dados que alimentam este produto. A curva de juros (ANBIMA) é acessível às ferramentas de busca web disponíveis e pode ser buscada novamente todo dia pela mesma URL estática — a atualização diária é tecnicamente viável e foi oferecida como tarefa recorrente. Os dados de precipitação (NASA POWER), por outro lado, permanecem inacessíveis a essas mesmas ferramentas dentro do ambiente de chat: a API exige parâmetros de data e coordenadas em cada consulta, e a ferramenta de busca web utilizada neste projeto só acessa URLs que já apareceram literalmente em um resultado de busca anterior — uma restrição de segurança que, por construção, impede a montagem de URLs de consulta dinâmica. A Seção 11 documenta como essa limitação foi contornada na prática: rodando a automação localmente, fora do ambiente de chat.</w:t>
      </w:r>
    </w:p>
    <w:p>
      <w:pPr>
        <w:pStyle w:val="Heading1"/>
        <w:spacing w:after="150" w:before="300"/>
      </w:pPr>
      <w:r>
        <w:rPr>
          <w:rFonts w:ascii="Arial" w:cs="Arial" w:eastAsia="Arial" w:hAnsi="Arial"/>
          <w:b/>
          <w:bCs/>
          <w:color w:val="1F3864"/>
        </w:rPr>
        <w:t xml:space="preserve">10. Basis Risk Quantificado</w:t>
      </w:r>
    </w:p>
    <w:p>
      <w:pPr>
        <w:spacing w:after="160" w:line="300"/>
        <w:jc w:val="both"/>
      </w:pPr>
      <w:r>
        <w:rPr>
          <w:rFonts w:ascii="Arial" w:cs="Arial" w:eastAsia="Arial" w:hAnsi="Arial"/>
          <w:sz w:val="21"/>
          <w:szCs w:val="21"/>
        </w:rPr>
        <w:t xml:space="preserve">As seções anteriores mencionam o basis risk do produto de forma qualitativa. Esta seção o quantifica: para cada um dos 105 pares cidade-safra (1990–2024), verifica-se se o derivativo teria acionado pagamento em QUALQUER um dos 6 meses de contrato da temporada (Setembro a Fevereiro — os 6 contratos mensais do produto, não apenas a janela reprodutiva), e compara-se esse sinal com o desvio real de produtividade daquela safra (resíduo em relação à tendência LOWESS, mesma metodologia já validada e usada ao longo deste projeto).</w:t>
      </w:r>
    </w:p>
    <w:p>
      <w:pPr>
        <w:spacing w:after="160" w:line="300"/>
        <w:jc w:val="both"/>
      </w:pPr>
      <w:r>
        <w:rPr>
          <w:rFonts w:ascii="Arial" w:cs="Arial" w:eastAsia="Arial" w:hAnsi="Arial"/>
          <w:sz w:val="21"/>
          <w:szCs w:val="21"/>
        </w:rPr>
        <w:t xml:space="preserve">10.1 Matriz de acerto/erro</w:t>
      </w:r>
    </w:p>
    <w:p>
      <w:pPr>
        <w:spacing w:after="160" w:line="300"/>
        <w:jc w:val="both"/>
      </w:pPr>
      <w:r>
        <w:rPr>
          <w:rFonts w:ascii="Arial" w:cs="Arial" w:eastAsia="Arial" w:hAnsi="Arial"/>
          <w:sz w:val="21"/>
          <w:szCs w:val="21"/>
        </w:rPr>
        <w:t xml:space="preserve">Tratando o produto como um classificador binário (aciona pagamento em algum mês da temporada vs. não aciona em nenhum) contra o resultado real (safra abaixo da tendência vs. não), obtém-se, para os strikes de 50% e 80% (agregando as três cidades):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500"/>
      </w:tblGrid>
      <w:tr>
        <w:tc>
          <w:tcPr>
            <w:shd w:fill="2E549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Strike</w:t>
            </w:r>
          </w:p>
        </w:tc>
        <w:tc>
          <w:tcPr>
            <w:shd w:fill="2E549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Sensibilidade</w:t>
            </w:r>
          </w:p>
        </w:tc>
        <w:tc>
          <w:tcPr>
            <w:shd w:fill="2E549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Precisão</w:t>
            </w:r>
          </w:p>
        </w:tc>
        <w:tc>
          <w:tcPr>
            <w:shd w:fill="2E549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Falso Negativo</w:t>
            </w:r>
          </w:p>
        </w:tc>
      </w:tr>
      <w:tr>
        <w:tc>
          <w:tcPr>
            <w:shd w:fill="F2F2F2"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50%</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38,8%</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61,3%</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61,2%</w:t>
            </w:r>
          </w:p>
        </w:tc>
      </w:tr>
      <w:tr>
        <w:tc>
          <w:tcPr>
            <w:shd w:fill="FFFFFF"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80%</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79,6%</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54,9%</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20,4%</w:t>
            </w:r>
          </w:p>
        </w:tc>
      </w:tr>
    </w:tbl>
    <w:p>
      <w:pPr>
        <w:spacing w:after="160" w:line="300"/>
        <w:jc w:val="both"/>
      </w:pPr>
      <w:r>
        <w:rPr>
          <w:rFonts w:ascii="Arial" w:cs="Arial" w:eastAsia="Arial" w:hAnsi="Arial"/>
          <w:sz w:val="21"/>
          <w:szCs w:val="21"/>
        </w:rPr>
        <w:t xml:space="preserve"/>
      </w:r>
    </w:p>
    <w:p>
      <w:pPr>
        <w:spacing w:after="160" w:line="300"/>
        <w:jc w:val="both"/>
      </w:pPr>
      <w:r>
        <w:rPr>
          <w:rFonts w:ascii="Arial" w:cs="Arial" w:eastAsia="Arial" w:hAnsi="Arial"/>
          <w:sz w:val="21"/>
          <w:szCs w:val="21"/>
        </w:rPr>
        <w:t xml:space="preserve">Sensibilidade é a fração dos anos realmente ruins em que o derivativo teria pago em pelo menos um mês; precisão é a fração dos pagamentos que de fato correspondiam a um ano ruim; falso negativo é o complemento da sensibilidade — os anos ruins em que o produto ficaria em silêncio o ano inteiro. Ampliar o critério de acionamento de apenas Janeiro+Fevereiro (janela reprodutiva) para qualquer um dos 6 meses eleva bastante a sensibilidade — no strike 50%, de cerca de 20% (só a janela crítica) para 38,8% (temporada inteira); no strike 80%, para quase 80% dos anos ruins captados. A contrapartida é mais falsos positivos (pagamentos em anos que na verdade foram normais), especialmente em strikes agressivos, onde a precisão cai para pouco mais de 50%. Não há strike que resolva as duas pontas ao mesmo tempo — isso não é uma falha de calibração, é a natureza estrutural de um derivativo paramétrico: ele paga sobre um gatilho climático objetivo, não sobre o resultado agronômico em si.</w:t>
      </w:r>
    </w:p>
    <w:p>
      <w:pPr>
        <w:spacing w:after="160" w:line="300"/>
        <w:jc w:val="both"/>
      </w:pPr>
      <w:r>
        <w:rPr>
          <w:rFonts w:ascii="Arial" w:cs="Arial" w:eastAsia="Arial" w:hAnsi="Arial"/>
          <w:sz w:val="21"/>
          <w:szCs w:val="21"/>
        </w:rPr>
        <w:t xml:space="preserve">10.2 Correlação entre déficit de chuva e desvio de produtividade</w:t>
      </w:r>
    </w:p>
    <w:p>
      <w:pPr>
        <w:spacing w:after="160" w:line="300"/>
        <w:jc w:val="both"/>
      </w:pPr>
      <w:r>
        <w:rPr>
          <w:rFonts w:ascii="Arial" w:cs="Arial" w:eastAsia="Arial" w:hAnsi="Arial"/>
          <w:sz w:val="21"/>
          <w:szCs w:val="21"/>
        </w:rPr>
        <w:t xml:space="preserve">Diferente de uma tentativa anterior neste projeto (Seção 2), que usava um índice composto de clima (chuva + calor + umidade do solo) e obtinha correlação com o sinal invertido, isolar apenas o déficit de chuva acumulado na temporada produz o sinal teoricamente esperado: mais déficit associa-se a produtividade pior. A correlação, porém, continua fraca e estatisticamente não significativa a 5% em nenhum strike testado — e é levemente mais fraca que olhando só a janela crítica (Janeiro+Fevereiro), pois os meses de início de safra (Setembro a Novembro) diluem um pouco o sinal agronômico mais forte que ocorre na fase reprodutiva.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tblGrid>
      <w:tr>
        <w:tc>
          <w:tcPr>
            <w:shd w:fill="375623"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Strike</w:t>
            </w:r>
          </w:p>
        </w:tc>
        <w:tc>
          <w:tcPr>
            <w:shd w:fill="375623"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Correlação (r)</w:t>
            </w:r>
          </w:p>
        </w:tc>
        <w:tc>
          <w:tcPr>
            <w:shd w:fill="375623"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p-value</w:t>
            </w:r>
          </w:p>
        </w:tc>
      </w:tr>
      <w:tr>
        <w:tc>
          <w:tcPr>
            <w:shd w:fill="E2EFDA"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30%</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-0,055</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0,5741</w:t>
            </w:r>
          </w:p>
        </w:tc>
      </w:tr>
      <w:tr>
        <w:tc>
          <w:tcPr>
            <w:shd w:fill="FFFFFF"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50%</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-0,126</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0,1995</w:t>
            </w:r>
          </w:p>
        </w:tc>
      </w:tr>
      <w:tr>
        <w:tc>
          <w:tcPr>
            <w:shd w:fill="E2EFDA"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70%</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-0,102</w:t>
            </w:r>
          </w:p>
        </w:tc>
        <w:tc>
          <w:tcPr>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0,2990</w:t>
            </w:r>
          </w:p>
        </w:tc>
      </w:tr>
    </w:tbl>
    <w:p>
      <w:pPr>
        <w:spacing w:after="160" w:line="300"/>
        <w:jc w:val="both"/>
      </w:pPr>
      <w:r>
        <w:rPr>
          <w:rFonts w:ascii="Arial" w:cs="Arial" w:eastAsia="Arial" w:hAnsi="Arial"/>
          <w:sz w:val="21"/>
          <w:szCs w:val="21"/>
        </w:rPr>
        <w:t xml:space="preserve"/>
      </w:r>
    </w:p>
    <w:p>
      <w:pPr>
        <w:spacing w:after="160" w:line="300"/>
        <w:jc w:val="both"/>
      </w:pPr>
      <w:r>
        <w:rPr>
          <w:rFonts w:ascii="Arial" w:cs="Arial" w:eastAsia="Arial" w:hAnsi="Arial"/>
          <w:sz w:val="21"/>
          <w:szCs w:val="21"/>
        </w:rPr>
        <w:t xml:space="preserve">Essa é a evidência quantitativa, com metodologia idêntica em todo o projeto, de por que este produto foi desenhado como paramétrico puro (paga sobre o índice de chuva) e não como derivativo indexado à produtividade estimada: mesmo isolando corretamente a direção do efeito e ampliando a janela de observação para a temporada inteira, o poder explicativo da chuva municipal sobre o desvio de produtividade é baixo demais para servir de base a uma precificação por produtividade prevista.</w:t>
      </w:r>
    </w:p>
    <w:p>
      <w:pPr>
        <w:spacing w:after="160" w:line="300"/>
        <w:jc w:val="both"/>
      </w:pPr>
      <w:r>
        <w:rPr>
          <w:rFonts w:ascii="Arial" w:cs="Arial" w:eastAsia="Arial" w:hAnsi="Arial"/>
          <w:sz w:val="21"/>
          <w:szCs w:val="21"/>
        </w:rPr>
        <w:t xml:space="preserve">10.3 Hedging effectiveness — metodologia semi-variância (Vedenov &amp; Barnett, 2004)</w:t>
      </w:r>
    </w:p>
    <w:p>
      <w:pPr>
        <w:spacing w:after="160" w:line="300"/>
        <w:jc w:val="both"/>
      </w:pPr>
      <w:r>
        <w:rPr>
          <w:rFonts w:ascii="Arial" w:cs="Arial" w:eastAsia="Arial" w:hAnsi="Arial"/>
          <w:sz w:val="21"/>
          <w:szCs w:val="21"/>
        </w:rPr>
        <w:t xml:space="preserve">A matriz de acerto/erro (Seção 10.1) é intuitiva, mas não é a métrica padrão que a literatura acadêmica de weather derivatives usa para decidir se um hedge vale a pena. O padrão, desde Vedenov &amp; Barnett (2004) — o trabalho mais citado nesta área — é a redução de semi-variância: comparar o risco de downside (semi-variância, ou Lower Partial Moment de ordem 2) da receita do produtor sem o hedge contra a receita com o hedge. Um resultado positivo indica que o hedge reduz o risco; negativo indica que o hedge, na prática, adiciona risco em vez de reduzi-lo.</w:t>
      </w:r>
    </w:p>
    <w:p>
      <w:pPr>
        <w:spacing w:after="160" w:line="300"/>
        <w:jc w:val="both"/>
      </w:pPr>
      <w:r>
        <w:rPr>
          <w:rFonts w:ascii="Arial" w:cs="Arial" w:eastAsia="Arial" w:hAnsi="Arial"/>
          <w:sz w:val="21"/>
          <w:szCs w:val="21"/>
        </w:rPr>
        <w:t xml:space="preserve">Receita sem hedge = produtividade (sacas/ha) × preço; receita com hedge = receita sem hedge + payoff do derivativo − prêmio pago. Duas correções metodológicas foram necessárias antes de o cálculo ficar confiável — ambas do mesmo tipo de problema já enfrentado neste projeto (contaminação por tendência): o preço nominal da soja variou mais de 5× no período da amostra (R$34/saca em 2007 para R$191/saca em 2022, por inflação e valorização, não por risco de safra), e a produtividade bruta carrega a mesma tendência tecnológica de décadas já identificada na Seção 2. Ambas foram substituídas por versões que isolam o componente ano a ano ligado ao clima: preço fixo de referência (média da série) e produtividade "destendenciada" (nível médio de tendência + resíduo real daquele ano, já validado no projeto).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800"/>
        <w:gridCol w:w="1800"/>
      </w:tblGrid>
      <w:tr>
        <w:tc>
          <w:tcPr>
            <w:shd w:fill="2E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Strike</w:t>
            </w:r>
          </w:p>
        </w:tc>
        <w:tc>
          <w:tcPr>
            <w:shd w:fill="2E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Efetividade (crítico)</w:t>
            </w:r>
          </w:p>
        </w:tc>
        <w:tc>
          <w:tcPr>
            <w:shd w:fill="2E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Efetividade (temporada)</w:t>
            </w:r>
          </w:p>
        </w:tc>
        <w:tc>
          <w:tcPr>
            <w:shd w:fill="2E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Custo prêmio (crítico)</w:t>
            </w:r>
          </w:p>
        </w:tc>
        <w:tc>
          <w:tcPr>
            <w:shd w:fill="2E549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Custo prêmio (temporada)</w:t>
            </w:r>
          </w:p>
        </w:tc>
      </w:tr>
      <w:tr>
        <w:tc>
          <w:tcPr>
            <w:shd w:fill="F2F2F2"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30%</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-31,4%</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-190,2%</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0,5%</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0,7%</w:t>
            </w:r>
          </w:p>
        </w:tc>
      </w:tr>
      <w:tr>
        <w:tc>
          <w:tcPr>
            <w:shd w:fill="FFFFFF"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50%</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-1.793,2%</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-4.860,4%</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6,2%</w:t>
            </w:r>
          </w:p>
        </w:tc>
        <w:tc>
          <w:tcPr>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4,3%</w:t>
            </w:r>
          </w:p>
        </w:tc>
      </w:tr>
      <w:tr>
        <w:tc>
          <w:tcPr>
            <w:shd w:fill="F2F2F2"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80%</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-15.996,1%</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-66.042,7%</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23,5%</w:t>
            </w:r>
          </w:p>
        </w:tc>
        <w:tc>
          <w:tcPr>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19,6%</w:t>
            </w:r>
          </w:p>
        </w:tc>
      </w:tr>
    </w:tbl>
    <w:p>
      <w:pPr>
        <w:spacing w:after="160" w:line="300"/>
        <w:jc w:val="both"/>
      </w:pPr>
      <w:r>
        <w:rPr>
          <w:rFonts w:ascii="Arial" w:cs="Arial" w:eastAsia="Arial" w:hAnsi="Arial"/>
          <w:sz w:val="21"/>
          <w:szCs w:val="21"/>
        </w:rPr>
        <w:t xml:space="preserve"/>
      </w:r>
    </w:p>
    <w:p>
      <w:pPr>
        <w:spacing w:after="160" w:line="300"/>
        <w:jc w:val="both"/>
      </w:pPr>
      <w:r>
        <w:rPr>
          <w:rFonts w:ascii="Arial" w:cs="Arial" w:eastAsia="Arial" w:hAnsi="Arial"/>
          <w:sz w:val="21"/>
          <w:szCs w:val="21"/>
        </w:rPr>
        <w:t xml:space="preserve">O resultado é negativo em todos os strikes e nas duas janelas temporais — comprar o derivativo, no tamanho ingênuo de 1 contrato por hectare, aumenta a semi-variância da receita em vez de reduzi-la. A causa fica clara ao decompor a variância: o desvio-padrão da receita genuinamente ligada ao clima é de aproximadamente R$ 297/ha, enquanto o desvio-padrão do próprio payoff do derivativo (strike 50%, temporada inteira) é de aproximadamente R$ 4.029/ha — treze vezes maior. Mesmo com a correlação no sinal correto (payoff mais alto quando a receita é mais baixa), a variância que o próprio payoff introduz é grande demais para a pequena covariância compensar: o contrato, dimensionado a 1 por hectare, é maior do que o risco real que ele deveria cobrir.</w:t>
      </w:r>
    </w:p>
    <w:p>
      <w:pPr>
        <w:spacing w:after="160" w:line="300"/>
        <w:jc w:val="both"/>
      </w:pPr>
      <w:r>
        <w:rPr>
          <w:rFonts w:ascii="Arial" w:cs="Arial" w:eastAsia="Arial" w:hAnsi="Arial"/>
          <w:sz w:val="21"/>
          <w:szCs w:val="21"/>
        </w:rPr>
        <w:t xml:space="preserve">Isso levanta uma pergunta natural: existe um tamanho de posição que funcionaria melhor? Calculou-se a razão de hedge de variância mínima (Ederington, 1979): h* = Cov(payoff, receita) / Var(payoff), que indica quantos contratos por hectare minimizariam a variância, em vez de assumir 1:1. Em todos os strikes e janelas testados, h* saiu negativo e próximo de zero (entre -0,001 e -0,05) — ou seja, dado o comportamento histórico dos dados, a posição matematicamente ótima é essencialmente não comprar o contrato (ou uma posição residual, não uma cobertura material). Mesmo nesse ponto ótimo, a efetividade permanece levemente negativa (entre -0,5% e -10,9%).</w:t>
      </w:r>
    </w:p>
    <w:p>
      <w:pPr>
        <w:spacing w:after="160" w:line="300"/>
        <w:jc w:val="both"/>
      </w:pPr>
      <w:r>
        <w:rPr>
          <w:rFonts w:ascii="Arial" w:cs="Arial" w:eastAsia="Arial" w:hAnsi="Arial"/>
          <w:sz w:val="21"/>
          <w:szCs w:val="21"/>
        </w:rPr>
        <w:t xml:space="preserve">Essa é a resposta mais rigorosa que este projeto pode dar à pergunta "vale a pena contratar este derivativo": não, pela metodologia padrão da literatura, no desenho e na escala testados, usando dado de chuva municipal contra produtividade municipal. Isso não invalida o produto como estrutura financeira (a mecânica de precificação, curva de juros e automação são independentes desse resultado), mas estabelece um limite honesto do que ele entrega como instrumento de redução de risco para um produtor individual — reforçando o achado da literatura já citado na Seção 9 de que a efetividade de derivativos climáticos é limitada em nível de fazenda individual e aumenta com o nível de agregação (Deng et al., 2007). Uma ressalva: h* foi estimado na mesma amostra usada para avaliá-lo (n=105), sem validação fora da amostra — um teste out-of-sample do próprio hedge ratio, análogo à validação cruzada já aplicada alhures neste projeto, é o próximo passo natural antes de tratar h* como estável.</w:t>
      </w:r>
    </w:p>
    <w:p>
      <w:pPr>
        <w:pStyle w:val="Heading1"/>
        <w:spacing w:after="150" w:before="300"/>
      </w:pPr>
      <w:r>
        <w:rPr>
          <w:rFonts w:ascii="Arial" w:cs="Arial" w:eastAsia="Arial" w:hAnsi="Arial"/>
          <w:b/>
          <w:bCs/>
          <w:color w:val="1F3864"/>
        </w:rPr>
        <w:t xml:space="preserve">11. Automação Local (Fase 2)</w:t>
      </w:r>
    </w:p>
    <w:p>
      <w:pPr>
        <w:spacing w:after="160" w:line="300"/>
        <w:jc w:val="both"/>
      </w:pPr>
      <w:r>
        <w:rPr>
          <w:rFonts w:ascii="Arial" w:cs="Arial" w:eastAsia="Arial" w:hAnsi="Arial"/>
          <w:sz w:val="21"/>
          <w:szCs w:val="21"/>
        </w:rPr>
        <w:t xml:space="preserve">11.1 Arquitetura: local via launchd, não Cowork</w:t>
      </w:r>
    </w:p>
    <w:p>
      <w:pPr>
        <w:spacing w:after="160" w:line="300"/>
        <w:jc w:val="both"/>
      </w:pPr>
      <w:r>
        <w:rPr>
          <w:rFonts w:ascii="Arial" w:cs="Arial" w:eastAsia="Arial" w:hAnsi="Arial"/>
          <w:sz w:val="21"/>
          <w:szCs w:val="21"/>
        </w:rPr>
        <w:t xml:space="preserve">A atualização diária de chuva e de juros roda localmente na máquina do usuário (Claude Code + macOS launchd), não na tarefa agendada em nuvem (Cowork) inicialmente cogitada para a curva de juros. A decisão teve duas razões: (1) a API do NASA POWER permanece inacessível às ferramentas de busca web do ambiente de chat (Seção 9.4), tornando a automação em nuvem inviável para o lado da chuva; (2) mesmo para a curva de juros, que é acessível remotamente, manter duas automações independentes (uma em nuvem, outra local) mirando o mesmo arquivo Excel local criaria risco real de uma sobrescrever o trabalho da outra. Consolidar tudo em uma única automação local, com acesso de rede real e acesso direto ao arquivo, elimina esse risco.</w:t>
      </w:r>
    </w:p>
    <w:p>
      <w:pPr>
        <w:spacing w:after="160" w:line="300"/>
        <w:jc w:val="both"/>
      </w:pPr>
      <w:r>
        <w:rPr>
          <w:rFonts w:ascii="Arial" w:cs="Arial" w:eastAsia="Arial" w:hAnsi="Arial"/>
          <w:sz w:val="21"/>
          <w:szCs w:val="21"/>
        </w:rPr>
        <w:t xml:space="preserve">Dois agentes launchd rodam diariamente: com.derivativosoja.dailyupdate (07h00, atualização de chuva e repricing do mês de contrato ativo) e com.derivativosoja.jurosupdate (07h10, dez minutos depois, deliberadamente espaçado para evitar os dois processos abrirem e salvarem o mesmo arquivo Excel simultaneamente).</w:t>
      </w:r>
    </w:p>
    <w:p>
      <w:pPr>
        <w:spacing w:after="160" w:line="300"/>
        <w:jc w:val="both"/>
      </w:pPr>
      <w:r>
        <w:rPr>
          <w:rFonts w:ascii="Arial" w:cs="Arial" w:eastAsia="Arial" w:hAnsi="Arial"/>
          <w:sz w:val="21"/>
          <w:szCs w:val="21"/>
        </w:rPr>
        <w:t xml:space="preserve">11.2 O que cada automação faz</w:t>
      </w:r>
    </w:p>
    <w:p>
      <w:pPr>
        <w:spacing w:after="160" w:line="300"/>
        <w:jc w:val="both"/>
      </w:pPr>
      <w:r>
        <w:rPr>
          <w:rFonts w:ascii="Arial" w:cs="Arial" w:eastAsia="Arial" w:hAnsi="Arial"/>
          <w:sz w:val="21"/>
          <w:szCs w:val="21"/>
        </w:rPr>
        <w:t xml:space="preserve">Chuva (daily_update.py): busca os dias mais recentes de precipitação via API do NASA POWER para as três cidades; se a data de execução cai dentro de um mês de contrato (Setembro–Fevereiro), projeta a chuva restante do mês por análogos históricos (mesmos dias restantes em cada ano do histórico) e reprecifica o contrato do mês ativo, atualizando a tabela "Monitor Diário" da planilha. Fora da janela de contrato, a automação roda, busca o dado, mas corretamente não altera a precificação — comportamento verificado, não presumido.</w:t>
      </w:r>
    </w:p>
    <w:p>
      <w:pPr>
        <w:spacing w:after="160" w:line="300"/>
        <w:jc w:val="both"/>
      </w:pPr>
      <w:r>
        <w:rPr>
          <w:rFonts w:ascii="Arial" w:cs="Arial" w:eastAsia="Arial" w:hAnsi="Arial"/>
          <w:sz w:val="21"/>
          <w:szCs w:val="21"/>
        </w:rPr>
        <w:t xml:space="preserve">Juros (atualizar_juros.py): busca a curva ETTJ mais recente da ANBIMA, reprecifica todos os 108 contratos com a nova curva (automático, pois o motor lê a curva de um arquivo de cache que a automação atualiza) e sobrescreve os valores diretamente nas abas "Cadeia de Strikes" e de cada cidade — célula a célula, sem regenerar a planilha do zero, para não apagar o histórico acumulado pela automação de chuva na mesma execução.</w:t>
      </w:r>
    </w:p>
    <w:p>
      <w:pPr>
        <w:spacing w:after="160" w:line="300"/>
        <w:jc w:val="both"/>
      </w:pPr>
      <w:r>
        <w:rPr>
          <w:rFonts w:ascii="Arial" w:cs="Arial" w:eastAsia="Arial" w:hAnsi="Arial"/>
          <w:sz w:val="21"/>
          <w:szCs w:val="21"/>
        </w:rPr>
        <w:t xml:space="preserve">11.3 Bug encontrado e corrigido durante a validação</w:t>
      </w:r>
    </w:p>
    <w:p>
      <w:pPr>
        <w:spacing w:after="160" w:line="300"/>
        <w:jc w:val="both"/>
      </w:pPr>
      <w:r>
        <w:rPr>
          <w:rFonts w:ascii="Arial" w:cs="Arial" w:eastAsia="Arial" w:hAnsi="Arial"/>
          <w:sz w:val="21"/>
          <w:szCs w:val="21"/>
        </w:rPr>
        <w:t xml:space="preserve">Ao testar o parser da curva ETTJ com o dado real da ANBIMA (não apenas com dado simulado), o vértice de 21 dias úteis — o prazo mais curto disponível, e o mais relevante para um contrato próximo do vencimento — estava sendo descartado silenciosamente por um erro de índice ao pular a linha de cabeçalho do arquivo-fonte. O bug não aparecia em nenhum teste anterior porque os testes simulados usavam texto de exemplo formatado de forma ligeiramente diferente do retorno real da ANBIMA. Corrigido e reconfirmado com dado real (curva de 12/08/2026, 10 vértices completos, incluindo o de 21 dias).</w:t>
      </w:r>
    </w:p>
    <w:p>
      <w:pPr>
        <w:spacing w:after="160" w:line="300"/>
        <w:jc w:val="both"/>
      </w:pPr>
      <w:r>
        <w:rPr>
          <w:rFonts w:ascii="Arial" w:cs="Arial" w:eastAsia="Arial" w:hAnsi="Arial"/>
          <w:sz w:val="21"/>
          <w:szCs w:val="21"/>
        </w:rPr>
        <w:t xml:space="preserve">11.4 Status na data deste memorial</w:t>
      </w:r>
    </w:p>
    <w:p>
      <w:pPr>
        <w:spacing w:after="160" w:line="300"/>
        <w:jc w:val="both"/>
      </w:pPr>
      <w:r>
        <w:rPr>
          <w:rFonts w:ascii="Arial" w:cs="Arial" w:eastAsia="Arial" w:hAnsi="Arial"/>
          <w:sz w:val="21"/>
          <w:szCs w:val="21"/>
        </w:rPr>
        <w:t xml:space="preserve">O disparo automático e desassistido pelo launchd (sem execução manual) foi confirmado: os logs registraram execuções diárias sucessivas de chuva (14, 15 e 16/08/2026, cache subindo de 7 para 9 dias sem falha de rede) e de juros (15 e 16/08/2026, com a curva avançando de referência a cada pregão). O caso de 16/08 (sábado) validou corretamente um cenário de borda não coberto pelos testes anteriores: sem pregão novo publicado no fim de semana, o script reportou "MESMA DATA (sem pregão novo ainda)" em vez de forçar uma atualização inválida — comportamento correto, descoberto apenas em execução real, não em teste simulado.</w:t>
      </w:r>
    </w:p>
    <w:p>
      <w:pPr>
        <w:spacing w:after="160" w:line="300"/>
        <w:jc w:val="both"/>
      </w:pPr>
      <w:r>
        <w:rPr>
          <w:rFonts w:ascii="Arial" w:cs="Arial" w:eastAsia="Arial" w:hAnsi="Arial"/>
          <w:sz w:val="21"/>
          <w:szCs w:val="21"/>
        </w:rPr>
        <w:t xml:space="preserve">11.5 Segundo bug encontrado e corrigido: referências de data e limpeza de célula no openpyxl</w:t>
      </w:r>
    </w:p>
    <w:p>
      <w:pPr>
        <w:spacing w:after="160" w:line="300"/>
        <w:jc w:val="both"/>
      </w:pPr>
      <w:r>
        <w:rPr>
          <w:rFonts w:ascii="Arial" w:cs="Arial" w:eastAsia="Arial" w:hAnsi="Arial"/>
          <w:sz w:val="21"/>
          <w:szCs w:val="21"/>
        </w:rPr>
        <w:t xml:space="preserve">A verificação do arquivo real após alguns dias de execução revelou duas falhas na lógica de atualização das referências de data na Capa (Seção 3), não nos números de precificação em si (que se mantiveram corretos em todas as execuções). Primeiro: a correção de texto originalmente buscava a data anterior exata como string para substituição — uma lógica frágil que quebrou quando a planilha foi substituída por uma versão regenerada do zero (contendo a data de referência original hardcoded), perdendo a continuidade com o que o cache local já havia progredido. Corrigido trocando a busca por padrão (regex sobre "ref. DD/MM/AAAA"), que se autocorrige independentemente do texto atual da célula. Segundo: a limpeza de notas duplicadas usava `célula.value = None` passado como parâmetro do método `cell()` do openpyxl — que, de forma não óbvia, trata `None` como "nenhum valor foi fornecido" e não altera o conteúdo existente, em vez de limpar a célula. A correção exige atribuição direta ao atributo (`cell.value = None`), não ao parâmetro da função construtora. Ambos os bugs foram identificados inspecionando o arquivo real após dias de execução — não teriam aparecido em nenhum teste de curta duração.</w:t>
      </w:r>
    </w:p>
    <w:p>
      <w:pPr>
        <w:pStyle w:val="Heading1"/>
        <w:spacing w:after="150" w:before="300"/>
      </w:pPr>
      <w:r>
        <w:rPr>
          <w:rFonts w:ascii="Arial" w:cs="Arial" w:eastAsia="Arial" w:hAnsi="Arial"/>
          <w:b/>
          <w:bCs/>
          <w:color w:val="1F3864"/>
        </w:rPr>
        <w:t xml:space="preserve">12. Conclusão</w:t>
      </w:r>
    </w:p>
    <w:p>
      <w:pPr>
        <w:spacing w:after="160" w:line="300"/>
        <w:jc w:val="both"/>
      </w:pPr>
      <w:r>
        <w:rPr>
          <w:rFonts w:ascii="Arial" w:cs="Arial" w:eastAsia="Arial" w:hAnsi="Arial"/>
          <w:sz w:val="21"/>
          <w:szCs w:val="21"/>
        </w:rPr>
        <w:t xml:space="preserve">Este projeto entrega, além do motor de precificação e da planilha de visualização, uma demonstração documentada de processo analítico rigoroso: a identificação de overfitting em um modelo estatístico inicial, a validação cruzada que expôs sua fragilidade, e o redesenho do produto para uma estrutura (derivativo paramétrico puro) cujo basis risk é conhecido, aceito pela indústria e — na Seção 10 — quantificado numericamente (sensibilidade, precisão e taxa de falso negativo por strike), em vez de apenas mencionado como limitação qualitativa. A segunda rodada de melhorias reforça esse mesmo padrão de rigor: uma taxa de desconto corrigida e verificada contra fonte oficial, uma curva de juros futura real substituindo uma taxa única simplificada, e uma documentação honesta de exatamente quais fontes de dados podem e quais não podem ser automatizadas nas ferramentas disponíveis — incluindo, na Seção 11, o caminho encontrado para automatizar mesmo a fonte que inicialmente parecia bloqueada.</w:t>
      </w:r>
    </w:p>
    <w:p>
      <w:pPr>
        <w:spacing w:after="160" w:line="300"/>
        <w:jc w:val="both"/>
      </w:pPr>
      <w:r>
        <w:rPr>
          <w:rFonts w:ascii="Arial" w:cs="Arial" w:eastAsia="Arial" w:hAnsi="Arial"/>
          <w:sz w:val="21"/>
          <w:szCs w:val="21"/>
        </w:rPr>
        <w:t xml:space="preserve">O resultado é um produto financeiro replicável, auditável e alinhado à prática de mercado de derivativos climáticos institucionais (CME/CBOT), aplicado a um contexto de relevância direta para o agronegócio brasileiro.</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Derivativo Paramétrico de Precipitação — Soja MT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2026-08-17T10:13:11.802Z</dcterms:created>
  <dcterms:modified xsi:type="dcterms:W3CDTF">2026-08-17T10:13:11.814Z</dcterms:modified>
</cp:coreProperties>
</file>

<file path=docProps/custom.xml><?xml version="1.0" encoding="utf-8"?>
<Properties xmlns="http://schemas.openxmlformats.org/officeDocument/2006/custom-properties" xmlns:vt="http://schemas.openxmlformats.org/officeDocument/2006/docPropsVTypes"/>
</file>