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rPr>
          <w:b/>
          <w:bCs/>
          <w:color w:val="1F3864"/>
          <w:sz w:val="44"/>
          <w:szCs w:val="44"/>
        </w:rPr>
      </w:pPr>
      <w:r>
        <w:t xml:space="preserve">MEMORIAL TÉCNICO</w:t>
      </w:r>
    </w:p>
    <w:p>
      <w:pPr>
        <w:spacing w:after="400"/>
        <w:rPr>
          <w:i/>
          <w:iCs/>
          <w:color w:val="2E5496"/>
          <w:sz w:val="26"/>
          <w:szCs w:val="26"/>
        </w:rPr>
      </w:pPr>
      <w:r>
        <w:t xml:space="preserve">Derivativo Paramétrico de Temperatura (CDD) — Hedge de Exposição de Geradores ao PLD via Demanda Térmica, São Paulo/SE-CO</w:t>
      </w:r>
    </w:p>
    <w:p>
      <w:pPr>
        <w:pStyle w:val="Heading1"/>
        <w:spacing w:after="160" w:before="320"/>
        <w:rPr>
          <w:b/>
          <w:bCs/>
          <w:color w:val="1F3864"/>
        </w:rPr>
      </w:pPr>
      <w:r>
        <w:t xml:space="preserve">1. Objetivo e Contexto</w:t>
      </w:r>
    </w:p>
    <w:p>
      <w:pPr>
        <w:spacing w:after="160"/>
        <w:jc w:val="both"/>
      </w:pPr>
      <w:r>
        <w:rPr>
          <w:sz w:val="21"/>
          <w:szCs w:val="21"/>
        </w:rPr>
        <w:t xml:space="preserve">Este memorial documenta a estruturação de um derivativo paramétrico de temperatura, estilo CME (Cooling Degree Days), para hedge de exposição financeira de geradores de energia ao Preço de Liquidação das Diferenças (PLD) via o mecanismo de demanda térmica: temperatura sobe → uso de ar-condicionado dispara → carga do submercado SE/CO aumenta → PLD sobe → geradores que precisam comprar energia no mercado de curto prazo (por exemplo, para cobrir um déficit de geração própria) sofrem exposição financeira.</w:t>
      </w:r>
    </w:p>
    <w:p>
      <w:pPr>
        <w:spacing w:after="160"/>
        <w:jc w:val="both"/>
      </w:pPr>
      <w:r>
        <w:rPr>
          <w:sz w:val="21"/>
          <w:szCs w:val="21"/>
        </w:rPr>
        <w:t xml:space="preserve">Este produto é o segundo de uma família de derivativos paramétricos construída a partir de um motor de precificação comum — o primeiro, documentado em memorial separado, foi um PUT de precipitação para hedge de produtividade agrícola de soja em Mato Grosso. A arquitetura (Historical Burn Analysis + Monte Carlo, curva de juros futura real, quantificação de basis risk e hedging effectiveness) foi integralmente reaproveitada; o que muda é o índice subjacente, a direção do payoff, e — como este memorial documenta em detalhe — a metodologia de calibração do tick, que precisou ser reconstruída do zero após testes revelarem que a abordagem do produto de referência (tick fixo em R$/unidade de índice) não se sustentava para este mercado.</w:t>
      </w:r>
    </w:p>
    <w:p>
      <w:pPr>
        <w:pStyle w:val="Heading1"/>
        <w:spacing w:after="160" w:before="320"/>
        <w:rPr>
          <w:b/>
          <w:bCs/>
          <w:color w:val="1F3864"/>
        </w:rPr>
      </w:pPr>
      <w:r>
        <w:t xml:space="preserve">2. Estrutura do Contrato</w:t>
      </w:r>
    </w:p>
    <w:p>
      <w:pPr>
        <w:pStyle w:val="Heading2"/>
        <w:spacing w:after="100" w:before="220"/>
        <w:rPr>
          <w:b/>
          <w:bCs/>
          <w:color w:val="2E5496"/>
          <w:sz w:val="24"/>
          <w:szCs w:val="24"/>
        </w:rPr>
      </w:pPr>
      <w:r>
        <w:t xml:space="preserve">2.1 Índice — fórmula real do CME</w:t>
      </w:r>
    </w:p>
    <w:p>
      <w:pPr>
        <w:spacing w:after="160"/>
        <w:jc w:val="both"/>
      </w:pPr>
      <w:r>
        <w:rPr>
          <w:sz w:val="21"/>
          <w:szCs w:val="21"/>
        </w:rPr>
        <w:t xml:space="preserve">O índice é o CDD (Cooling Degree Days) mensal, calculado com a fórmula exata utilizada pelo CME: CDD(dia) = max(0, T_média − 18,33°C), onde T_média = (T2M_MAX + T2M_MIN)/2 e 18,33°C corresponde a 65°F — a temperatura de referência histórica do mercado americano, ligada ao comportamento observado de acionamento de ar-condicionado. O índice mensal é a soma dos valores diários ao longo do mês.</w:t>
      </w:r>
    </w:p>
    <w:p>
      <w:pPr>
        <w:pStyle w:val="Heading2"/>
        <w:spacing w:after="100" w:before="220"/>
        <w:rPr>
          <w:b/>
          <w:bCs/>
          <w:color w:val="2E5496"/>
          <w:sz w:val="24"/>
          <w:szCs w:val="24"/>
        </w:rPr>
      </w:pPr>
      <w:r>
        <w:t xml:space="preserve">2.2 Direção do payoff — CALL, não PUT</w:t>
      </w:r>
    </w:p>
    <w:p>
      <w:pPr>
        <w:spacing w:after="160"/>
        <w:jc w:val="both"/>
      </w:pPr>
      <w:r>
        <w:rPr>
          <w:sz w:val="21"/>
          <w:szCs w:val="21"/>
        </w:rPr>
        <w:t xml:space="preserve">Diferente do produto de referência (uma PUT de chuva, que paga quando chove menos que o strike), este é uma CALL de CDD: paga quando o mês fica MAIS quente que o strike. A lógica é invertida porque o risco hedgeado também é invertido — no produto agrícola, o risco é receita baixa (safra ruim); aqui, o risco é custo alto (PLD elevado quando a demanda térmica dispara).</w:t>
      </w:r>
    </w:p>
    <w:p>
      <w:pPr>
        <w:pStyle w:val="Heading2"/>
        <w:spacing w:after="100" w:before="220"/>
        <w:rPr>
          <w:b/>
          <w:bCs/>
          <w:color w:val="2E5496"/>
          <w:sz w:val="24"/>
          <w:szCs w:val="24"/>
        </w:rPr>
      </w:pPr>
      <w:r>
        <w:t xml:space="preserve">2.3 Estrutura de mercado real</w:t>
      </w:r>
    </w:p>
    <w:p>
      <w:pPr>
        <w:spacing w:after="160"/>
        <w:jc w:val="both"/>
      </w:pPr>
      <w:r>
        <w:rPr>
          <w:sz w:val="21"/>
          <w:szCs w:val="21"/>
        </w:rPr>
        <w:t xml:space="preserve">A pesquisa da estrutura real de contratos do CME revelou que contratos mensais individuais e "seasonal strips" (cobrindo de 2 a 7 meses consecutivos em um único contrato) coexistem no mercado. Esta versão usa contratos mensais — 12 ao todo, cobrindo o ano civil completo, já que geração de energia não tem entressafra (diferente do produto agrícola, estruturado em torno do calendário de plantio-colheita).</w:t>
      </w:r>
    </w:p>
    <w:p>
      <w:pPr>
        <w:pStyle w:val="Heading1"/>
        <w:spacing w:after="160" w:before="320"/>
        <w:rPr>
          <w:b/>
          <w:bCs/>
          <w:color w:val="1F3864"/>
        </w:rPr>
      </w:pPr>
      <w:r>
        <w:t xml:space="preserve">3. Dados e Fontes</w:t>
      </w:r>
    </w:p>
    <w:p>
      <w:pPr>
        <w:pStyle w:val="ListParagraph"/>
        <w:numPr>
          <w:ilvl w:val="0"/>
          <w:numId w:val="1"/>
        </w:numPr>
        <w:spacing w:after="80"/>
      </w:pPr>
      <w:r>
        <w:rPr>
          <w:sz w:val="21"/>
          <w:szCs w:val="21"/>
        </w:rPr>
        <w:t xml:space="preserve">Temperatura: NASA POWER, ponto -23,55/-46,63 (São Paulo), T2M_MAX e T2M_MIN diários, 1981–2026 (45 anos) — mesma fonte do produto de referência.</w:t>
      </w:r>
    </w:p>
    <w:p>
      <w:pPr>
        <w:pStyle w:val="ListParagraph"/>
        <w:numPr>
          <w:ilvl w:val="0"/>
          <w:numId w:val="1"/>
        </w:numPr>
        <w:spacing w:after="80"/>
      </w:pPr>
      <w:r>
        <w:rPr>
          <w:sz w:val="21"/>
          <w:szCs w:val="21"/>
        </w:rPr>
        <w:t xml:space="preserve">Carga de energia: ONS Dados Abertos, dataset "Carga de Energia Diária", submercado SE/CO, 2000–2026.</w:t>
      </w:r>
    </w:p>
    <w:p>
      <w:pPr>
        <w:pStyle w:val="ListParagraph"/>
        <w:numPr>
          <w:ilvl w:val="0"/>
          <w:numId w:val="1"/>
        </w:numPr>
        <w:spacing w:after="80"/>
      </w:pPr>
      <w:r>
        <w:rPr>
          <w:sz w:val="21"/>
          <w:szCs w:val="21"/>
        </w:rPr>
        <w:t xml:space="preserve">PLD: CCEE, "Histórico do Preço Médio Semanal", submercado SUDESTE, 2001–2025 (agregado para base mensal para esta análise).</w:t>
      </w:r>
    </w:p>
    <w:p>
      <w:pPr>
        <w:spacing w:after="160"/>
        <w:jc w:val="both"/>
      </w:pPr>
      <w:r>
        <w:rPr>
          <w:sz w:val="21"/>
          <w:szCs w:val="21"/>
        </w:rPr>
        <w:t xml:space="preserve">Uma tentativa inicial de acessar PLD pelo portal estruturado de dados abertos da CCEE (dadosabertos.ccee.org.br) revelou uma limitação real: o dataset estruturado (PLD_MEDIA_DIARIA) só disponibiliza arquivos de 2021 a 2026 — muito mais curto que os 24 anos que a CCEE anuncia publicamente. O histórico completo (desde 2001) existe apenas na ferramenta manual "Painel de Preços" do site institucional, de onde os dados semanais utilizados neste memorial foram obtidos.</w:t>
      </w:r>
    </w:p>
    <w:p>
      <w:pPr>
        <w:pStyle w:val="Heading1"/>
        <w:spacing w:after="160" w:before="320"/>
        <w:rPr>
          <w:b/>
          <w:bCs/>
          <w:color w:val="1F3864"/>
        </w:rPr>
      </w:pPr>
      <w:r>
        <w:t xml:space="preserve">4. Metodologia Estatística — Testada, Não Presumida</w:t>
      </w:r>
    </w:p>
    <w:p>
      <w:pPr>
        <w:spacing w:after="160"/>
        <w:jc w:val="both"/>
      </w:pPr>
      <w:r>
        <w:rPr>
          <w:sz w:val="21"/>
          <w:szCs w:val="21"/>
        </w:rPr>
        <w:t xml:space="preserve">Diferente do produto de referência, que adotou a distribuição Gamma por analogia com o comportamento de precipitação, aqui a escolha entre Normal e Gamma foi testada diretamente contra o dado real de CDD de São Paulo, com o teste de Kolmogorov-Smirnov aplicado a cada um dos 12 meses.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500"/>
      </w:tblGrid>
      <w:tr>
        <w:tc>
          <w:tcPr>
            <w:tcW w:type="dxa" w:w="2000"/>
            <w:shd w:fill="2E5496" w:val="clear"/>
            <w:vAlign w:val="center"/>
          </w:tcPr>
          <w:p>
            <w:pPr>
              <w:jc w:val="center"/>
            </w:pPr>
            <w:r>
              <w:rPr>
                <w:b/>
                <w:bCs/>
                <w:color w:val="FFFFFF"/>
                <w:sz w:val="19"/>
                <w:szCs w:val="19"/>
              </w:rPr>
              <w:t xml:space="preserve">Mês</w:t>
            </w:r>
          </w:p>
        </w:tc>
        <w:tc>
          <w:tcPr>
            <w:tcW w:type="dxa" w:w="2000"/>
            <w:shd w:fill="2E5496" w:val="clear"/>
            <w:vAlign w:val="center"/>
          </w:tcPr>
          <w:p>
            <w:pPr>
              <w:jc w:val="center"/>
            </w:pPr>
            <w:r>
              <w:rPr>
                <w:b/>
                <w:bCs/>
                <w:color w:val="FFFFFF"/>
                <w:sz w:val="19"/>
                <w:szCs w:val="19"/>
              </w:rPr>
              <w:t xml:space="preserve">KS Normal (p)</w:t>
            </w:r>
          </w:p>
        </w:tc>
        <w:tc>
          <w:tcPr>
            <w:tcW w:type="dxa" w:w="2000"/>
            <w:shd w:fill="2E5496" w:val="clear"/>
            <w:vAlign w:val="center"/>
          </w:tcPr>
          <w:p>
            <w:pPr>
              <w:jc w:val="center"/>
            </w:pPr>
            <w:r>
              <w:rPr>
                <w:b/>
                <w:bCs/>
                <w:color w:val="FFFFFF"/>
                <w:sz w:val="19"/>
                <w:szCs w:val="19"/>
              </w:rPr>
              <w:t xml:space="preserve">KS Gamma (p)</w:t>
            </w:r>
          </w:p>
        </w:tc>
        <w:tc>
          <w:tcPr>
            <w:tcW w:type="dxa" w:w="2000"/>
            <w:shd w:fill="2E5496" w:val="clear"/>
            <w:vAlign w:val="center"/>
          </w:tcPr>
          <w:p>
            <w:pPr>
              <w:jc w:val="center"/>
            </w:pPr>
            <w:r>
              <w:rPr>
                <w:b/>
                <w:bCs/>
                <w:color w:val="FFFFFF"/>
                <w:sz w:val="19"/>
                <w:szCs w:val="19"/>
              </w:rPr>
              <w:t xml:space="preserve">Melhor ajuste</w:t>
            </w:r>
          </w:p>
        </w:tc>
      </w:tr>
      <w:tr>
        <w:tc>
          <w:tcPr>
            <w:tcW w:type="dxa" w:w="2000"/>
            <w:shd w:fill="F2F2F2" w:val="clear"/>
            <w:vAlign w:val="center"/>
          </w:tcPr>
          <w:p>
            <w:pPr>
              <w:jc w:val="center"/>
            </w:pPr>
            <w:r>
              <w:rPr>
                <w:b/>
                <w:bCs/>
                <w:color w:val="000000"/>
                <w:sz w:val="19"/>
                <w:szCs w:val="19"/>
              </w:rPr>
              <w:t xml:space="preserve">Maio</w:t>
            </w:r>
          </w:p>
        </w:tc>
        <w:tc>
          <w:tcPr>
            <w:tcW w:type="dxa" w:w="2000"/>
            <w:shd w:fill="F2F2F2" w:val="clear"/>
            <w:vAlign w:val="center"/>
          </w:tcPr>
          <w:p>
            <w:pPr>
              <w:jc w:val="center"/>
            </w:pPr>
            <w:r>
              <w:rPr>
                <w:b w:val="false"/>
                <w:bCs w:val="false"/>
                <w:color w:val="000000"/>
                <w:sz w:val="19"/>
                <w:szCs w:val="19"/>
              </w:rPr>
              <w:t xml:space="preserve">0,044</w:t>
            </w:r>
          </w:p>
        </w:tc>
        <w:tc>
          <w:tcPr>
            <w:tcW w:type="dxa" w:w="2000"/>
            <w:shd w:fill="F2F2F2" w:val="clear"/>
            <w:vAlign w:val="center"/>
          </w:tcPr>
          <w:p>
            <w:pPr>
              <w:jc w:val="center"/>
            </w:pPr>
            <w:r>
              <w:rPr>
                <w:b w:val="false"/>
                <w:bCs w:val="false"/>
                <w:color w:val="000000"/>
                <w:sz w:val="19"/>
                <w:szCs w:val="19"/>
              </w:rPr>
              <w:t xml:space="preserve">0,835</w:t>
            </w:r>
          </w:p>
        </w:tc>
        <w:tc>
          <w:tcPr>
            <w:tcW w:type="dxa" w:w="2000"/>
            <w:shd w:fill="F2F2F2" w:val="clear"/>
            <w:vAlign w:val="center"/>
          </w:tcPr>
          <w:p>
            <w:pPr>
              <w:jc w:val="center"/>
            </w:pPr>
            <w:r>
              <w:rPr>
                <w:b w:val="false"/>
                <w:bCs w:val="false"/>
                <w:color w:val="000000"/>
                <w:sz w:val="19"/>
                <w:szCs w:val="19"/>
              </w:rPr>
              <w:t xml:space="preserve">Gamma</w:t>
            </w:r>
          </w:p>
        </w:tc>
      </w:tr>
      <w:tr>
        <w:tc>
          <w:tcPr>
            <w:tcW w:type="dxa" w:w="2000"/>
            <w:shd w:fill="FFFFFF" w:val="clear"/>
            <w:vAlign w:val="center"/>
          </w:tcPr>
          <w:p>
            <w:pPr>
              <w:jc w:val="center"/>
            </w:pPr>
            <w:r>
              <w:rPr>
                <w:b/>
                <w:bCs/>
                <w:color w:val="000000"/>
                <w:sz w:val="19"/>
                <w:szCs w:val="19"/>
              </w:rPr>
              <w:t xml:space="preserve">Junho</w:t>
            </w:r>
          </w:p>
        </w:tc>
        <w:tc>
          <w:tcPr>
            <w:tcW w:type="dxa" w:w="2000"/>
            <w:shd w:fill="FFFFFF" w:val="clear"/>
            <w:vAlign w:val="center"/>
          </w:tcPr>
          <w:p>
            <w:pPr>
              <w:jc w:val="center"/>
            </w:pPr>
            <w:r>
              <w:rPr>
                <w:b w:val="false"/>
                <w:bCs w:val="false"/>
                <w:color w:val="000000"/>
                <w:sz w:val="19"/>
                <w:szCs w:val="19"/>
              </w:rPr>
              <w:t xml:space="preserve">0,019</w:t>
            </w:r>
          </w:p>
        </w:tc>
        <w:tc>
          <w:tcPr>
            <w:tcW w:type="dxa" w:w="2000"/>
            <w:shd w:fill="FFFFFF" w:val="clear"/>
            <w:vAlign w:val="center"/>
          </w:tcPr>
          <w:p>
            <w:pPr>
              <w:jc w:val="center"/>
            </w:pPr>
            <w:r>
              <w:rPr>
                <w:b w:val="false"/>
                <w:bCs w:val="false"/>
                <w:color w:val="000000"/>
                <w:sz w:val="19"/>
                <w:szCs w:val="19"/>
              </w:rPr>
              <w:t xml:space="preserve">0,098</w:t>
            </w:r>
          </w:p>
        </w:tc>
        <w:tc>
          <w:tcPr>
            <w:tcW w:type="dxa" w:w="2000"/>
            <w:shd w:fill="FFFFFF" w:val="clear"/>
            <w:vAlign w:val="center"/>
          </w:tcPr>
          <w:p>
            <w:pPr>
              <w:jc w:val="center"/>
            </w:pPr>
            <w:r>
              <w:rPr>
                <w:b w:val="false"/>
                <w:bCs w:val="false"/>
                <w:color w:val="000000"/>
                <w:sz w:val="19"/>
                <w:szCs w:val="19"/>
              </w:rPr>
              <w:t xml:space="preserve">Gamma</w:t>
            </w:r>
          </w:p>
        </w:tc>
      </w:tr>
      <w:tr>
        <w:tc>
          <w:tcPr>
            <w:tcW w:type="dxa" w:w="2000"/>
            <w:shd w:fill="F2F2F2" w:val="clear"/>
            <w:vAlign w:val="center"/>
          </w:tcPr>
          <w:p>
            <w:pPr>
              <w:jc w:val="center"/>
            </w:pPr>
            <w:r>
              <w:rPr>
                <w:b/>
                <w:bCs/>
                <w:color w:val="000000"/>
                <w:sz w:val="19"/>
                <w:szCs w:val="19"/>
              </w:rPr>
              <w:t xml:space="preserve">Julho</w:t>
            </w:r>
          </w:p>
        </w:tc>
        <w:tc>
          <w:tcPr>
            <w:tcW w:type="dxa" w:w="2000"/>
            <w:shd w:fill="F2F2F2" w:val="clear"/>
            <w:vAlign w:val="center"/>
          </w:tcPr>
          <w:p>
            <w:pPr>
              <w:jc w:val="center"/>
            </w:pPr>
            <w:r>
              <w:rPr>
                <w:b w:val="false"/>
                <w:bCs w:val="false"/>
                <w:color w:val="000000"/>
                <w:sz w:val="19"/>
                <w:szCs w:val="19"/>
              </w:rPr>
              <w:t xml:space="preserve">0,013</w:t>
            </w:r>
          </w:p>
        </w:tc>
        <w:tc>
          <w:tcPr>
            <w:tcW w:type="dxa" w:w="2000"/>
            <w:shd w:fill="F2F2F2" w:val="clear"/>
            <w:vAlign w:val="center"/>
          </w:tcPr>
          <w:p>
            <w:pPr>
              <w:jc w:val="center"/>
            </w:pPr>
            <w:r>
              <w:rPr>
                <w:b w:val="false"/>
                <w:bCs w:val="false"/>
                <w:color w:val="000000"/>
                <w:sz w:val="19"/>
                <w:szCs w:val="19"/>
              </w:rPr>
              <w:t xml:space="preserve">0,494</w:t>
            </w:r>
          </w:p>
        </w:tc>
        <w:tc>
          <w:tcPr>
            <w:tcW w:type="dxa" w:w="2000"/>
            <w:shd w:fill="F2F2F2" w:val="clear"/>
            <w:vAlign w:val="center"/>
          </w:tcPr>
          <w:p>
            <w:pPr>
              <w:jc w:val="center"/>
            </w:pPr>
            <w:r>
              <w:rPr>
                <w:b w:val="false"/>
                <w:bCs w:val="false"/>
                <w:color w:val="000000"/>
                <w:sz w:val="19"/>
                <w:szCs w:val="19"/>
              </w:rPr>
              <w:t xml:space="preserve">Gamma</w:t>
            </w:r>
          </w:p>
        </w:tc>
      </w:tr>
      <w:tr>
        <w:tc>
          <w:tcPr>
            <w:tcW w:type="dxa" w:w="2000"/>
            <w:shd w:fill="FFFFFF" w:val="clear"/>
            <w:vAlign w:val="center"/>
          </w:tcPr>
          <w:p>
            <w:pPr>
              <w:jc w:val="center"/>
            </w:pPr>
            <w:r>
              <w:rPr>
                <w:b/>
                <w:bCs/>
                <w:color w:val="000000"/>
                <w:sz w:val="19"/>
                <w:szCs w:val="19"/>
              </w:rPr>
              <w:t xml:space="preserve">Novembro</w:t>
            </w:r>
          </w:p>
        </w:tc>
        <w:tc>
          <w:tcPr>
            <w:tcW w:type="dxa" w:w="2000"/>
            <w:shd w:fill="FFFFFF" w:val="clear"/>
            <w:vAlign w:val="center"/>
          </w:tcPr>
          <w:p>
            <w:pPr>
              <w:jc w:val="center"/>
            </w:pPr>
            <w:r>
              <w:rPr>
                <w:b w:val="false"/>
                <w:bCs w:val="false"/>
                <w:color w:val="000000"/>
                <w:sz w:val="19"/>
                <w:szCs w:val="19"/>
              </w:rPr>
              <w:t xml:space="preserve">0,912</w:t>
            </w:r>
          </w:p>
        </w:tc>
        <w:tc>
          <w:tcPr>
            <w:tcW w:type="dxa" w:w="2000"/>
            <w:shd w:fill="FFFFFF" w:val="clear"/>
            <w:vAlign w:val="center"/>
          </w:tcPr>
          <w:p>
            <w:pPr>
              <w:jc w:val="center"/>
            </w:pPr>
            <w:r>
              <w:rPr>
                <w:b w:val="false"/>
                <w:bCs w:val="false"/>
                <w:color w:val="000000"/>
                <w:sz w:val="19"/>
                <w:szCs w:val="19"/>
              </w:rPr>
              <w:t xml:space="preserve">0,516</w:t>
            </w:r>
          </w:p>
        </w:tc>
        <w:tc>
          <w:tcPr>
            <w:tcW w:type="dxa" w:w="2000"/>
            <w:shd w:fill="FFFFFF" w:val="clear"/>
            <w:vAlign w:val="center"/>
          </w:tcPr>
          <w:p>
            <w:pPr>
              <w:jc w:val="center"/>
            </w:pPr>
            <w:r>
              <w:rPr>
                <w:b w:val="false"/>
                <w:bCs w:val="false"/>
                <w:color w:val="000000"/>
                <w:sz w:val="19"/>
                <w:szCs w:val="19"/>
              </w:rPr>
              <w:t xml:space="preserve">Normal</w:t>
            </w:r>
          </w:p>
        </w:tc>
      </w:tr>
      <w:tr>
        <w:tc>
          <w:tcPr>
            <w:tcW w:type="dxa" w:w="2000"/>
            <w:shd w:fill="F2F2F2" w:val="clear"/>
            <w:vAlign w:val="center"/>
          </w:tcPr>
          <w:p>
            <w:pPr>
              <w:jc w:val="center"/>
            </w:pPr>
            <w:r>
              <w:rPr>
                <w:b/>
                <w:bCs/>
                <w:color w:val="000000"/>
                <w:sz w:val="19"/>
                <w:szCs w:val="19"/>
              </w:rPr>
              <w:t xml:space="preserve">Dezembro</w:t>
            </w:r>
          </w:p>
        </w:tc>
        <w:tc>
          <w:tcPr>
            <w:tcW w:type="dxa" w:w="2000"/>
            <w:shd w:fill="F2F2F2" w:val="clear"/>
            <w:vAlign w:val="center"/>
          </w:tcPr>
          <w:p>
            <w:pPr>
              <w:jc w:val="center"/>
            </w:pPr>
            <w:r>
              <w:rPr>
                <w:b w:val="false"/>
                <w:bCs w:val="false"/>
                <w:color w:val="000000"/>
                <w:sz w:val="19"/>
                <w:szCs w:val="19"/>
              </w:rPr>
              <w:t xml:space="preserve">0,805</w:t>
            </w:r>
          </w:p>
        </w:tc>
        <w:tc>
          <w:tcPr>
            <w:tcW w:type="dxa" w:w="2000"/>
            <w:shd w:fill="F2F2F2" w:val="clear"/>
            <w:vAlign w:val="center"/>
          </w:tcPr>
          <w:p>
            <w:pPr>
              <w:jc w:val="center"/>
            </w:pPr>
            <w:r>
              <w:rPr>
                <w:b w:val="false"/>
                <w:bCs w:val="false"/>
                <w:color w:val="000000"/>
                <w:sz w:val="19"/>
                <w:szCs w:val="19"/>
              </w:rPr>
              <w:t xml:space="preserve">0,754</w:t>
            </w:r>
          </w:p>
        </w:tc>
        <w:tc>
          <w:tcPr>
            <w:tcW w:type="dxa" w:w="2000"/>
            <w:shd w:fill="F2F2F2" w:val="clear"/>
            <w:vAlign w:val="center"/>
          </w:tcPr>
          <w:p>
            <w:pPr>
              <w:jc w:val="center"/>
            </w:pPr>
            <w:r>
              <w:rPr>
                <w:b w:val="false"/>
                <w:bCs w:val="false"/>
                <w:color w:val="000000"/>
                <w:sz w:val="19"/>
                <w:szCs w:val="19"/>
              </w:rPr>
              <w:t xml:space="preserve">Normal</w:t>
            </w:r>
          </w:p>
        </w:tc>
      </w:tr>
    </w:tbl>
    <w:p>
      <w:pPr>
        <w:spacing w:after="160"/>
        <w:jc w:val="both"/>
      </w:pPr>
      <w:r>
        <w:rPr>
          <w:sz w:val="21"/>
          <w:szCs w:val="21"/>
        </w:rPr>
        <w:t xml:space="preserve"/>
      </w:r>
    </w:p>
    <w:p>
      <w:pPr>
        <w:spacing w:after="160"/>
        <w:jc w:val="both"/>
      </w:pPr>
      <w:r>
        <w:rPr>
          <w:sz w:val="21"/>
          <w:szCs w:val="21"/>
        </w:rPr>
        <w:t xml:space="preserve">Gamma venceu em 10 dos 12 meses, decisivamente nos meses de CDD baixo (Maio, Junho, Julho), onde a distribuição Normal permite valores negativos — fisicamente impossíveis para um índice de graus-dia, que é limitado em zero por construção. O modelo hurdle (mesma lógica do produto de referência, usado quando a fração de observações próximas de zero excede 15%) trata esses meses de baixa CDD adequadamente.</w:t>
      </w:r>
    </w:p>
    <w:p>
      <w:pPr>
        <w:pStyle w:val="Heading1"/>
        <w:spacing w:after="160" w:before="320"/>
        <w:rPr>
          <w:b/>
          <w:bCs/>
          <w:color w:val="1F3864"/>
        </w:rPr>
      </w:pPr>
      <w:r>
        <w:t xml:space="preserve">5. Calibração do Tick — Jornada Documentada</w:t>
      </w:r>
    </w:p>
    <w:p>
      <w:pPr>
        <w:pStyle w:val="Heading2"/>
        <w:spacing w:after="100" w:before="220"/>
        <w:rPr>
          <w:b/>
          <w:bCs/>
          <w:color w:val="2E5496"/>
          <w:sz w:val="24"/>
          <w:szCs w:val="24"/>
        </w:rPr>
      </w:pPr>
      <w:r>
        <w:t xml:space="preserve">5.1 Tentativa 1: tick fixo (descartada)</w:t>
      </w:r>
    </w:p>
    <w:p>
      <w:pPr>
        <w:spacing w:after="160"/>
        <w:jc w:val="both"/>
      </w:pPr>
      <w:r>
        <w:rPr>
          <w:sz w:val="21"/>
          <w:szCs w:val="21"/>
        </w:rPr>
        <w:t xml:space="preserve">A primeira versão do motor usou um tick fixo (R$300/ponto de CDD), placeholder documentado, análogo ao usado inicialmente no motor da usina hidrelétrica de referência.</w:t>
      </w:r>
    </w:p>
    <w:p>
      <w:pPr>
        <w:pStyle w:val="Heading2"/>
        <w:spacing w:after="100" w:before="220"/>
        <w:rPr>
          <w:b/>
          <w:bCs/>
          <w:color w:val="2E5496"/>
          <w:sz w:val="24"/>
          <w:szCs w:val="24"/>
        </w:rPr>
      </w:pPr>
      <w:r>
        <w:t xml:space="preserve">5.2 Tentativa 2: correlação direta CDD→PLD (descartada)</w:t>
      </w:r>
    </w:p>
    <w:p>
      <w:pPr>
        <w:spacing w:after="160"/>
        <w:jc w:val="both"/>
      </w:pPr>
      <w:r>
        <w:rPr>
          <w:sz w:val="21"/>
          <w:szCs w:val="21"/>
        </w:rPr>
        <w:t xml:space="preserve">Testou-se a correlação direta entre CDD mensal e PLD mensal: r=0,078 (bruto, p=0,19, não significativo) e r=0,130 excluindo 2001–2002 (p=0,036). Fraca demais para calibrar um tick com confiança. A explicação é estrutural: o PLD brasileiro é dominado pelo valor da água (nível de reservatório, modelos NEWAVE/DECOMP), não pela demanda corrente — diferente de mercados termicamente dominados como o dos EUA, onde a relação HDD/CDD→preço é mais direta.</w:t>
      </w:r>
    </w:p>
    <w:p>
      <w:pPr>
        <w:pStyle w:val="Heading2"/>
        <w:spacing w:after="100" w:before="220"/>
        <w:rPr>
          <w:b/>
          <w:bCs/>
          <w:color w:val="2E5496"/>
          <w:sz w:val="24"/>
          <w:szCs w:val="24"/>
        </w:rPr>
      </w:pPr>
      <w:r>
        <w:t xml:space="preserve">5.3 Tentativa 3 (adotada): bootstrap de pares reais</w:t>
      </w:r>
    </w:p>
    <w:p>
      <w:pPr>
        <w:spacing w:after="160"/>
        <w:jc w:val="both"/>
      </w:pPr>
      <w:r>
        <w:rPr>
          <w:sz w:val="21"/>
          <w:szCs w:val="21"/>
        </w:rPr>
        <w:t xml:space="preserve">Em vez de um tick fixo, o motor final usa bootstrap (reamostragem com reposição) de PARES históricos reais (CDD, PLD) do mesmo mês/ano — preservando a correlação fraca real entre os dois, em vez de assumir independência (que subestimaria o risco) ou uma relação mais forte do que existe (que superestimaria). O payoff é: payoff = slope_carga × max(0, CDD−strike) × PLD_realizado, onde slope_carga converte excesso de CDD em MW extras de demanda.</w:t>
      </w:r>
    </w:p>
    <w:p>
      <w:pPr>
        <w:pStyle w:val="Heading2"/>
        <w:spacing w:after="100" w:before="220"/>
        <w:rPr>
          <w:b/>
          <w:bCs/>
          <w:color w:val="2E5496"/>
          <w:sz w:val="24"/>
          <w:szCs w:val="24"/>
        </w:rPr>
      </w:pPr>
      <w:r>
        <w:t xml:space="preserve">5.4 Calibração do slope — melhoria de especificação</w:t>
      </w:r>
    </w:p>
    <w:p>
      <w:pPr>
        <w:spacing w:after="160"/>
        <w:jc w:val="both"/>
      </w:pPr>
      <w:r>
        <w:rPr>
          <w:sz w:val="21"/>
          <w:szCs w:val="21"/>
        </w:rPr>
        <w:t xml:space="preserve">O coeficiente slope_carga (MW extras de carga por ponto de CDD) foi calibrado em quatro especificações sucessivas, cada uma testando se a anterior deixava sinal real na mesa: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2000"/>
            <w:shd w:fill="2E5496" w:val="clear"/>
            <w:vAlign w:val="center"/>
          </w:tcPr>
          <w:p>
            <w:pPr>
              <w:jc w:val="left"/>
            </w:pPr>
            <w:r>
              <w:rPr>
                <w:b/>
                <w:bCs/>
                <w:color w:val="FFFFFF"/>
                <w:sz w:val="19"/>
                <w:szCs w:val="19"/>
              </w:rPr>
              <w:t xml:space="preserve">Especificação</w:t>
            </w:r>
          </w:p>
        </w:tc>
        <w:tc>
          <w:tcPr>
            <w:tcW w:type="dxa" w:w="2000"/>
            <w:shd w:fill="2E5496" w:val="clear"/>
            <w:vAlign w:val="center"/>
          </w:tcPr>
          <w:p>
            <w:pPr>
              <w:jc w:val="center"/>
            </w:pPr>
            <w:r>
              <w:rPr>
                <w:b/>
                <w:bCs/>
                <w:color w:val="FFFFFF"/>
                <w:sz w:val="19"/>
                <w:szCs w:val="19"/>
              </w:rPr>
              <w:t xml:space="preserve">N</w:t>
            </w:r>
          </w:p>
        </w:tc>
        <w:tc>
          <w:tcPr>
            <w:tcW w:type="dxa" w:w="2000"/>
            <w:shd w:fill="2E5496" w:val="clear"/>
            <w:vAlign w:val="center"/>
          </w:tcPr>
          <w:p>
            <w:pPr>
              <w:jc w:val="center"/>
            </w:pPr>
            <w:r>
              <w:rPr>
                <w:b/>
                <w:bCs/>
                <w:color w:val="FFFFFF"/>
                <w:sz w:val="19"/>
                <w:szCs w:val="19"/>
              </w:rPr>
              <w:t xml:space="preserve">R²</w:t>
            </w:r>
          </w:p>
        </w:tc>
        <w:tc>
          <w:tcPr>
            <w:tcW w:type="dxa" w:w="2000"/>
            <w:shd w:fill="2E5496" w:val="clear"/>
            <w:vAlign w:val="center"/>
          </w:tcPr>
          <w:p>
            <w:pPr>
              <w:jc w:val="center"/>
            </w:pPr>
            <w:r>
              <w:rPr>
                <w:b/>
                <w:bCs/>
                <w:color w:val="FFFFFF"/>
                <w:sz w:val="19"/>
                <w:szCs w:val="19"/>
              </w:rPr>
              <w:t xml:space="preserve">Slope (MW/pt)</w:t>
            </w:r>
          </w:p>
        </w:tc>
      </w:tr>
      <w:tr>
        <w:tc>
          <w:tcPr>
            <w:tcW w:type="dxa" w:w="2000"/>
            <w:shd w:fill="F2F2F2" w:val="clear"/>
            <w:vAlign w:val="center"/>
          </w:tcPr>
          <w:p>
            <w:pPr>
              <w:jc w:val="left"/>
            </w:pPr>
            <w:r>
              <w:rPr>
                <w:b w:val="false"/>
                <w:bCs w:val="false"/>
                <w:color w:val="000000"/>
                <w:sz w:val="19"/>
                <w:szCs w:val="19"/>
              </w:rPr>
              <w:t xml:space="preserve">Mensal, bruto (com tendência)</w:t>
            </w:r>
          </w:p>
        </w:tc>
        <w:tc>
          <w:tcPr>
            <w:tcW w:type="dxa" w:w="2000"/>
            <w:shd w:fill="F2F2F2" w:val="clear"/>
            <w:vAlign w:val="center"/>
          </w:tcPr>
          <w:p>
            <w:pPr>
              <w:jc w:val="center"/>
            </w:pPr>
            <w:r>
              <w:rPr>
                <w:b w:val="false"/>
                <w:bCs w:val="false"/>
                <w:color w:val="000000"/>
                <w:sz w:val="19"/>
                <w:szCs w:val="19"/>
              </w:rPr>
              <w:t xml:space="preserve">308</w:t>
            </w:r>
          </w:p>
        </w:tc>
        <w:tc>
          <w:tcPr>
            <w:tcW w:type="dxa" w:w="2000"/>
            <w:shd w:fill="F2F2F2" w:val="clear"/>
            <w:vAlign w:val="center"/>
          </w:tcPr>
          <w:p>
            <w:pPr>
              <w:jc w:val="center"/>
            </w:pPr>
            <w:r>
              <w:rPr>
                <w:b w:val="false"/>
                <w:bCs w:val="false"/>
                <w:color w:val="000000"/>
                <w:sz w:val="19"/>
                <w:szCs w:val="19"/>
              </w:rPr>
              <w:t xml:space="preserve">0,165</w:t>
            </w:r>
          </w:p>
        </w:tc>
        <w:tc>
          <w:tcPr>
            <w:tcW w:type="dxa" w:w="2000"/>
            <w:shd w:fill="F2F2F2" w:val="clear"/>
            <w:vAlign w:val="center"/>
          </w:tcPr>
          <w:p>
            <w:pPr>
              <w:jc w:val="center"/>
            </w:pPr>
            <w:r>
              <w:rPr>
                <w:b w:val="false"/>
                <w:bCs w:val="false"/>
                <w:color w:val="000000"/>
                <w:sz w:val="19"/>
                <w:szCs w:val="19"/>
              </w:rPr>
              <w:t xml:space="preserve">—</w:t>
            </w:r>
          </w:p>
        </w:tc>
      </w:tr>
      <w:tr>
        <w:tc>
          <w:tcPr>
            <w:tcW w:type="dxa" w:w="2000"/>
            <w:shd w:fill="FFFFFF" w:val="clear"/>
            <w:vAlign w:val="center"/>
          </w:tcPr>
          <w:p>
            <w:pPr>
              <w:jc w:val="left"/>
            </w:pPr>
            <w:r>
              <w:rPr>
                <w:b w:val="false"/>
                <w:bCs w:val="false"/>
                <w:color w:val="000000"/>
                <w:sz w:val="19"/>
                <w:szCs w:val="19"/>
              </w:rPr>
              <w:t xml:space="preserve">Mensal, destendenciado</w:t>
            </w:r>
          </w:p>
        </w:tc>
        <w:tc>
          <w:tcPr>
            <w:tcW w:type="dxa" w:w="2000"/>
            <w:shd w:fill="FFFFFF" w:val="clear"/>
            <w:vAlign w:val="center"/>
          </w:tcPr>
          <w:p>
            <w:pPr>
              <w:jc w:val="center"/>
            </w:pPr>
            <w:r>
              <w:rPr>
                <w:b w:val="false"/>
                <w:bCs w:val="false"/>
                <w:color w:val="000000"/>
                <w:sz w:val="19"/>
                <w:szCs w:val="19"/>
              </w:rPr>
              <w:t xml:space="preserve">308</w:t>
            </w:r>
          </w:p>
        </w:tc>
        <w:tc>
          <w:tcPr>
            <w:tcW w:type="dxa" w:w="2000"/>
            <w:shd w:fill="FFFFFF" w:val="clear"/>
            <w:vAlign w:val="center"/>
          </w:tcPr>
          <w:p>
            <w:pPr>
              <w:jc w:val="center"/>
            </w:pPr>
            <w:r>
              <w:rPr>
                <w:b w:val="false"/>
                <w:bCs w:val="false"/>
                <w:color w:val="000000"/>
                <w:sz w:val="19"/>
                <w:szCs w:val="19"/>
              </w:rPr>
              <w:t xml:space="preserve">0,109</w:t>
            </w:r>
          </w:p>
        </w:tc>
        <w:tc>
          <w:tcPr>
            <w:tcW w:type="dxa" w:w="2000"/>
            <w:shd w:fill="FFFFFF" w:val="clear"/>
            <w:vAlign w:val="center"/>
          </w:tcPr>
          <w:p>
            <w:pPr>
              <w:jc w:val="center"/>
            </w:pPr>
            <w:r>
              <w:rPr>
                <w:b w:val="false"/>
                <w:bCs w:val="false"/>
                <w:color w:val="000000"/>
                <w:sz w:val="19"/>
                <w:szCs w:val="19"/>
              </w:rPr>
              <w:t xml:space="preserve">22,40</w:t>
            </w:r>
          </w:p>
        </w:tc>
      </w:tr>
      <w:tr>
        <w:tc>
          <w:tcPr>
            <w:tcW w:type="dxa" w:w="2000"/>
            <w:shd w:fill="F2F2F2" w:val="clear"/>
            <w:vAlign w:val="center"/>
          </w:tcPr>
          <w:p>
            <w:pPr>
              <w:jc w:val="left"/>
            </w:pPr>
            <w:r>
              <w:rPr>
                <w:b w:val="false"/>
                <w:bCs w:val="false"/>
                <w:color w:val="000000"/>
                <w:sz w:val="19"/>
                <w:szCs w:val="19"/>
              </w:rPr>
              <w:t xml:space="preserve">Diário, sem controle</w:t>
            </w:r>
          </w:p>
        </w:tc>
        <w:tc>
          <w:tcPr>
            <w:tcW w:type="dxa" w:w="2000"/>
            <w:shd w:fill="F2F2F2" w:val="clear"/>
            <w:vAlign w:val="center"/>
          </w:tcPr>
          <w:p>
            <w:pPr>
              <w:jc w:val="center"/>
            </w:pPr>
            <w:r>
              <w:rPr>
                <w:b w:val="false"/>
                <w:bCs w:val="false"/>
                <w:color w:val="000000"/>
                <w:sz w:val="19"/>
                <w:szCs w:val="19"/>
              </w:rPr>
              <w:t xml:space="preserve">9.356</w:t>
            </w:r>
          </w:p>
        </w:tc>
        <w:tc>
          <w:tcPr>
            <w:tcW w:type="dxa" w:w="2000"/>
            <w:shd w:fill="F2F2F2" w:val="clear"/>
            <w:vAlign w:val="center"/>
          </w:tcPr>
          <w:p>
            <w:pPr>
              <w:jc w:val="center"/>
            </w:pPr>
            <w:r>
              <w:rPr>
                <w:b w:val="false"/>
                <w:bCs w:val="false"/>
                <w:color w:val="000000"/>
                <w:sz w:val="19"/>
                <w:szCs w:val="19"/>
              </w:rPr>
              <w:t xml:space="preserve">0,231</w:t>
            </w:r>
          </w:p>
        </w:tc>
        <w:tc>
          <w:tcPr>
            <w:tcW w:type="dxa" w:w="2000"/>
            <w:shd w:fill="F2F2F2" w:val="clear"/>
            <w:vAlign w:val="center"/>
          </w:tcPr>
          <w:p>
            <w:pPr>
              <w:jc w:val="center"/>
            </w:pPr>
            <w:r>
              <w:rPr>
                <w:b w:val="false"/>
                <w:bCs w:val="false"/>
                <w:color w:val="000000"/>
                <w:sz w:val="19"/>
                <w:szCs w:val="19"/>
              </w:rPr>
              <w:t xml:space="preserve">—</w:t>
            </w:r>
          </w:p>
        </w:tc>
      </w:tr>
      <w:tr>
        <w:tc>
          <w:tcPr>
            <w:tcW w:type="dxa" w:w="2000"/>
            <w:shd w:fill="E2EFDA" w:val="clear"/>
            <w:vAlign w:val="center"/>
          </w:tcPr>
          <w:p>
            <w:pPr>
              <w:jc w:val="left"/>
            </w:pPr>
            <w:r>
              <w:rPr>
                <w:b/>
                <w:bCs/>
                <w:color w:val="000000"/>
                <w:sz w:val="19"/>
                <w:szCs w:val="19"/>
              </w:rPr>
              <w:t xml:space="preserve">Diário + dia da semana</w:t>
            </w:r>
          </w:p>
        </w:tc>
        <w:tc>
          <w:tcPr>
            <w:tcW w:type="dxa" w:w="2000"/>
            <w:shd w:fill="E2EFDA" w:val="clear"/>
            <w:vAlign w:val="center"/>
          </w:tcPr>
          <w:p>
            <w:pPr>
              <w:jc w:val="center"/>
            </w:pPr>
            <w:r>
              <w:rPr>
                <w:b/>
                <w:bCs/>
                <w:color w:val="000000"/>
                <w:sz w:val="19"/>
                <w:szCs w:val="19"/>
              </w:rPr>
              <w:t xml:space="preserve">9.356</w:t>
            </w:r>
          </w:p>
        </w:tc>
        <w:tc>
          <w:tcPr>
            <w:tcW w:type="dxa" w:w="2000"/>
            <w:shd w:fill="E2EFDA" w:val="clear"/>
            <w:vAlign w:val="center"/>
          </w:tcPr>
          <w:p>
            <w:pPr>
              <w:jc w:val="center"/>
            </w:pPr>
            <w:r>
              <w:rPr>
                <w:b/>
                <w:bCs/>
                <w:color w:val="000000"/>
                <w:sz w:val="19"/>
                <w:szCs w:val="19"/>
              </w:rPr>
              <w:t xml:space="preserve">0,654</w:t>
            </w:r>
          </w:p>
        </w:tc>
        <w:tc>
          <w:tcPr>
            <w:tcW w:type="dxa" w:w="2000"/>
            <w:shd w:fill="E2EFDA" w:val="clear"/>
            <w:vAlign w:val="center"/>
          </w:tcPr>
          <w:p>
            <w:pPr>
              <w:jc w:val="center"/>
            </w:pPr>
            <w:r>
              <w:rPr>
                <w:b/>
                <w:bCs/>
                <w:color w:val="000000"/>
                <w:sz w:val="19"/>
                <w:szCs w:val="19"/>
              </w:rPr>
              <w:t xml:space="preserve">21,10</w:t>
            </w:r>
          </w:p>
        </w:tc>
      </w:tr>
    </w:tbl>
    <w:p>
      <w:pPr>
        <w:spacing w:after="160"/>
        <w:jc w:val="both"/>
      </w:pPr>
      <w:r>
        <w:rPr>
          <w:sz w:val="21"/>
          <w:szCs w:val="21"/>
        </w:rPr>
        <w:t xml:space="preserve"/>
      </w:r>
    </w:p>
    <w:p>
      <w:pPr>
        <w:spacing w:after="160"/>
        <w:jc w:val="both"/>
      </w:pPr>
      <w:r>
        <w:rPr>
          <w:sz w:val="21"/>
          <w:szCs w:val="21"/>
        </w:rPr>
        <w:t xml:space="preserve">A agregação mensal escondia uma quantidade substancial de ruído não relacionado a clima: o padrão industrial/comercial de dia útil vs. fim de semana. Controlando por isso em nível diário, o R² sobe de 0,109 para 0,654 — dentro da faixa reportada pela literatura internacional de correlação temperatura×carga (estudos comparáveis reportam R² entre 0,41 e 0,96, a maior parte deles em contextos de aquecimento, uma relação mais diretamente física que resfriamento por ar-condicionado, que é mais comportamental). O coeficiente em si (o parâmetro economicamente relevante) permaneceu estável entre as duas versões finais — 22,40 vs. 21,10 MW/ponto, diferença de 5,8% — confirmando que o ganho foi de precisão estatística (erro padrão de 0,27 vs. um valor não estimado com confiança comparável em N=308), não de uma mudança de direção do resultado.</w:t>
      </w:r>
    </w:p>
    <w:p>
      <w:pPr>
        <w:pStyle w:val="Heading1"/>
        <w:spacing w:after="160" w:before="320"/>
        <w:rPr>
          <w:b/>
          <w:bCs/>
          <w:color w:val="1F3864"/>
        </w:rPr>
      </w:pPr>
      <w:r>
        <w:t xml:space="preserve">6. Motor de Precificação</w:t>
      </w:r>
    </w:p>
    <w:p>
      <w:pPr>
        <w:spacing w:after="160"/>
        <w:jc w:val="both"/>
      </w:pPr>
      <w:r>
        <w:rPr>
          <w:sz w:val="21"/>
          <w:szCs w:val="21"/>
        </w:rPr>
        <w:t xml:space="preserve">HBA (Historical Burn Analysis): para cada strike, calcula o payoff médio histórico usando os pares reais (CDD, PLD) de cada ano disponível (2003–2025, excluindo 2001–2002 por conta do racionamento/apagão — uma distorção estrutural conhecida do período, removida deliberadamente).</w:t>
      </w:r>
    </w:p>
    <w:p>
      <w:pPr>
        <w:spacing w:after="160"/>
        <w:jc w:val="both"/>
      </w:pPr>
      <w:r>
        <w:rPr>
          <w:sz w:val="21"/>
          <w:szCs w:val="21"/>
        </w:rPr>
        <w:t xml:space="preserve">Monte Carlo: bootstrap com 50.000 reamostragens dos pares históricos reais — não um ajuste paramétrico independente de cada variável, que destruiria a correlação conjunta real entre CDD e PLD.</w:t>
      </w:r>
    </w:p>
    <w:p>
      <w:pPr>
        <w:spacing w:after="160"/>
        <w:jc w:val="both"/>
      </w:pPr>
      <w:r>
        <w:rPr>
          <w:sz w:val="21"/>
          <w:szCs w:val="21"/>
        </w:rPr>
        <w:t xml:space="preserve">Desconto: curva de juros futura (ETTJ ANBIMA) por vencimento específico de cada contrato, mesma metodologia e módulo (curva_juros.py) do produto de referência, reaproveitado sem modificação.</w:t>
      </w:r>
    </w:p>
    <w:p>
      <w:pPr>
        <w:spacing w:after="160"/>
        <w:jc w:val="both"/>
      </w:pPr>
      <w:r>
        <w:rPr>
          <w:sz w:val="21"/>
          <w:szCs w:val="21"/>
        </w:rPr>
        <w:t xml:space="preserve">Um erro real foi encontrado e corrigido durante a construção: a primeira versão atribuía o mesmo ano civil a todos os 12 contratos, independente de a data já ter passado em relação à data de referência — resultando em contratos "vencidos no passado" sendo precificados com uma taxa de desconto degenerada (fallback de prazo zero, idêntica em todos os meses). Corrigido com uma função que rola o contrato para o ano seguinte sempre que a liquidação no ano corrente já teria ocorrido antes da data de referência.</w:t>
      </w:r>
    </w:p>
    <w:p>
      <w:pPr>
        <w:pStyle w:val="Heading1"/>
        <w:spacing w:after="160" w:before="320"/>
        <w:rPr>
          <w:b/>
          <w:bCs/>
          <w:color w:val="1F3864"/>
        </w:rPr>
      </w:pPr>
      <w:r>
        <w:t xml:space="preserve">7. Basis Risk Quantificado</w:t>
      </w:r>
    </w:p>
    <w:p>
      <w:pPr>
        <w:spacing w:after="160"/>
        <w:jc w:val="both"/>
      </w:pPr>
      <w:r>
        <w:rPr>
          <w:sz w:val="21"/>
          <w:szCs w:val="21"/>
        </w:rPr>
        <w:t xml:space="preserve">Segue a mesma metodologia do produto de referência: matriz de acerto/erro tratando o produto como um classificador binário. Aqui, "mês caro" é definido como PLD no quartil superior da amostra (≥ R$219,6/MWh) — o equivalente, no contexto de custo, ao "ano ruim" usado no produto de receita.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500"/>
      </w:tblGrid>
      <w:tr>
        <w:tc>
          <w:tcPr>
            <w:tcW w:type="dxa" w:w="2000"/>
            <w:shd w:fill="2E5496" w:val="clear"/>
            <w:vAlign w:val="center"/>
          </w:tcPr>
          <w:p>
            <w:pPr>
              <w:jc w:val="center"/>
            </w:pPr>
            <w:r>
              <w:rPr>
                <w:b/>
                <w:bCs/>
                <w:color w:val="FFFFFF"/>
                <w:sz w:val="19"/>
                <w:szCs w:val="19"/>
              </w:rPr>
              <w:t xml:space="preserve">Strike</w:t>
            </w:r>
          </w:p>
        </w:tc>
        <w:tc>
          <w:tcPr>
            <w:tcW w:type="dxa" w:w="2000"/>
            <w:shd w:fill="2E5496" w:val="clear"/>
            <w:vAlign w:val="center"/>
          </w:tcPr>
          <w:p>
            <w:pPr>
              <w:jc w:val="center"/>
            </w:pPr>
            <w:r>
              <w:rPr>
                <w:b/>
                <w:bCs/>
                <w:color w:val="FFFFFF"/>
                <w:sz w:val="19"/>
                <w:szCs w:val="19"/>
              </w:rPr>
              <w:t xml:space="preserve">Sensibilidade</w:t>
            </w:r>
          </w:p>
        </w:tc>
        <w:tc>
          <w:tcPr>
            <w:tcW w:type="dxa" w:w="2000"/>
            <w:shd w:fill="2E5496" w:val="clear"/>
            <w:vAlign w:val="center"/>
          </w:tcPr>
          <w:p>
            <w:pPr>
              <w:jc w:val="center"/>
            </w:pPr>
            <w:r>
              <w:rPr>
                <w:b/>
                <w:bCs/>
                <w:color w:val="FFFFFF"/>
                <w:sz w:val="19"/>
                <w:szCs w:val="19"/>
              </w:rPr>
              <w:t xml:space="preserve">Precisão</w:t>
            </w:r>
          </w:p>
        </w:tc>
        <w:tc>
          <w:tcPr>
            <w:tcW w:type="dxa" w:w="2000"/>
            <w:shd w:fill="2E5496" w:val="clear"/>
            <w:vAlign w:val="center"/>
          </w:tcPr>
          <w:p>
            <w:pPr>
              <w:jc w:val="center"/>
            </w:pPr>
            <w:r>
              <w:rPr>
                <w:b/>
                <w:bCs/>
                <w:color w:val="FFFFFF"/>
                <w:sz w:val="19"/>
                <w:szCs w:val="19"/>
              </w:rPr>
              <w:t xml:space="preserve">Falso Negativo</w:t>
            </w:r>
          </w:p>
        </w:tc>
      </w:tr>
      <w:tr>
        <w:tc>
          <w:tcPr>
            <w:tcW w:type="dxa" w:w="2000"/>
            <w:shd w:fill="F2F2F2" w:val="clear"/>
            <w:vAlign w:val="center"/>
          </w:tcPr>
          <w:p>
            <w:pPr>
              <w:jc w:val="center"/>
            </w:pPr>
            <w:r>
              <w:rPr>
                <w:b/>
                <w:bCs/>
                <w:color w:val="000000"/>
                <w:sz w:val="19"/>
                <w:szCs w:val="19"/>
              </w:rPr>
              <w:t xml:space="preserve">-0,5σ</w:t>
            </w:r>
          </w:p>
        </w:tc>
        <w:tc>
          <w:tcPr>
            <w:tcW w:type="dxa" w:w="2000"/>
            <w:shd w:fill="F2F2F2" w:val="clear"/>
            <w:vAlign w:val="center"/>
          </w:tcPr>
          <w:p>
            <w:pPr>
              <w:jc w:val="center"/>
            </w:pPr>
            <w:r>
              <w:rPr>
                <w:b w:val="false"/>
                <w:bCs w:val="false"/>
                <w:color w:val="000000"/>
                <w:sz w:val="19"/>
                <w:szCs w:val="19"/>
              </w:rPr>
              <w:t xml:space="preserve">91,3%</w:t>
            </w:r>
          </w:p>
        </w:tc>
        <w:tc>
          <w:tcPr>
            <w:tcW w:type="dxa" w:w="2000"/>
            <w:shd w:fill="F2F2F2" w:val="clear"/>
            <w:vAlign w:val="center"/>
          </w:tcPr>
          <w:p>
            <w:pPr>
              <w:jc w:val="center"/>
            </w:pPr>
            <w:r>
              <w:rPr>
                <w:b w:val="false"/>
                <w:bCs w:val="false"/>
                <w:color w:val="000000"/>
                <w:sz w:val="19"/>
                <w:szCs w:val="19"/>
              </w:rPr>
              <w:t xml:space="preserve">29,6%</w:t>
            </w:r>
          </w:p>
        </w:tc>
        <w:tc>
          <w:tcPr>
            <w:tcW w:type="dxa" w:w="2000"/>
            <w:shd w:fill="F2F2F2" w:val="clear"/>
            <w:vAlign w:val="center"/>
          </w:tcPr>
          <w:p>
            <w:pPr>
              <w:jc w:val="center"/>
            </w:pPr>
            <w:r>
              <w:rPr>
                <w:b w:val="false"/>
                <w:bCs w:val="false"/>
                <w:color w:val="000000"/>
                <w:sz w:val="19"/>
                <w:szCs w:val="19"/>
              </w:rPr>
              <w:t xml:space="preserve">8,7%</w:t>
            </w:r>
          </w:p>
        </w:tc>
      </w:tr>
      <w:tr>
        <w:tc>
          <w:tcPr>
            <w:tcW w:type="dxa" w:w="2000"/>
            <w:shd w:fill="FFFFFF" w:val="clear"/>
            <w:vAlign w:val="center"/>
          </w:tcPr>
          <w:p>
            <w:pPr>
              <w:jc w:val="center"/>
            </w:pPr>
            <w:r>
              <w:rPr>
                <w:b/>
                <w:bCs/>
                <w:color w:val="000000"/>
                <w:sz w:val="19"/>
                <w:szCs w:val="19"/>
              </w:rPr>
              <w:t xml:space="preserve">+0,0σ</w:t>
            </w:r>
          </w:p>
        </w:tc>
        <w:tc>
          <w:tcPr>
            <w:tcW w:type="dxa" w:w="2000"/>
            <w:shd w:fill="FFFFFF" w:val="clear"/>
            <w:vAlign w:val="center"/>
          </w:tcPr>
          <w:p>
            <w:pPr>
              <w:jc w:val="center"/>
            </w:pPr>
            <w:r>
              <w:rPr>
                <w:b w:val="false"/>
                <w:bCs w:val="false"/>
                <w:color w:val="000000"/>
                <w:sz w:val="19"/>
                <w:szCs w:val="19"/>
              </w:rPr>
              <w:t xml:space="preserve">76,8%</w:t>
            </w:r>
          </w:p>
        </w:tc>
        <w:tc>
          <w:tcPr>
            <w:tcW w:type="dxa" w:w="2000"/>
            <w:shd w:fill="FFFFFF" w:val="clear"/>
            <w:vAlign w:val="center"/>
          </w:tcPr>
          <w:p>
            <w:pPr>
              <w:jc w:val="center"/>
            </w:pPr>
            <w:r>
              <w:rPr>
                <w:b w:val="false"/>
                <w:bCs w:val="false"/>
                <w:color w:val="000000"/>
                <w:sz w:val="19"/>
                <w:szCs w:val="19"/>
              </w:rPr>
              <w:t xml:space="preserve">34,4%</w:t>
            </w:r>
          </w:p>
        </w:tc>
        <w:tc>
          <w:tcPr>
            <w:tcW w:type="dxa" w:w="2000"/>
            <w:shd w:fill="FFFFFF" w:val="clear"/>
            <w:vAlign w:val="center"/>
          </w:tcPr>
          <w:p>
            <w:pPr>
              <w:jc w:val="center"/>
            </w:pPr>
            <w:r>
              <w:rPr>
                <w:b w:val="false"/>
                <w:bCs w:val="false"/>
                <w:color w:val="000000"/>
                <w:sz w:val="19"/>
                <w:szCs w:val="19"/>
              </w:rPr>
              <w:t xml:space="preserve">23,2%</w:t>
            </w:r>
          </w:p>
        </w:tc>
      </w:tr>
      <w:tr>
        <w:tc>
          <w:tcPr>
            <w:tcW w:type="dxa" w:w="2000"/>
            <w:shd w:fill="F2F2F2" w:val="clear"/>
            <w:vAlign w:val="center"/>
          </w:tcPr>
          <w:p>
            <w:pPr>
              <w:jc w:val="center"/>
            </w:pPr>
            <w:r>
              <w:rPr>
                <w:b/>
                <w:bCs/>
                <w:color w:val="000000"/>
                <w:sz w:val="19"/>
                <w:szCs w:val="19"/>
              </w:rPr>
              <w:t xml:space="preserve">+1,0σ</w:t>
            </w:r>
          </w:p>
        </w:tc>
        <w:tc>
          <w:tcPr>
            <w:tcW w:type="dxa" w:w="2000"/>
            <w:shd w:fill="F2F2F2" w:val="clear"/>
            <w:vAlign w:val="center"/>
          </w:tcPr>
          <w:p>
            <w:pPr>
              <w:jc w:val="center"/>
            </w:pPr>
            <w:r>
              <w:rPr>
                <w:b w:val="false"/>
                <w:bCs w:val="false"/>
                <w:color w:val="000000"/>
                <w:sz w:val="19"/>
                <w:szCs w:val="19"/>
              </w:rPr>
              <w:t xml:space="preserve">37,7%</w:t>
            </w:r>
          </w:p>
        </w:tc>
        <w:tc>
          <w:tcPr>
            <w:tcW w:type="dxa" w:w="2000"/>
            <w:shd w:fill="F2F2F2" w:val="clear"/>
            <w:vAlign w:val="center"/>
          </w:tcPr>
          <w:p>
            <w:pPr>
              <w:jc w:val="center"/>
            </w:pPr>
            <w:r>
              <w:rPr>
                <w:b w:val="false"/>
                <w:bCs w:val="false"/>
                <w:color w:val="000000"/>
                <w:sz w:val="19"/>
                <w:szCs w:val="19"/>
              </w:rPr>
              <w:t xml:space="preserve">41,3%</w:t>
            </w:r>
          </w:p>
        </w:tc>
        <w:tc>
          <w:tcPr>
            <w:tcW w:type="dxa" w:w="2000"/>
            <w:shd w:fill="F2F2F2" w:val="clear"/>
            <w:vAlign w:val="center"/>
          </w:tcPr>
          <w:p>
            <w:pPr>
              <w:jc w:val="center"/>
            </w:pPr>
            <w:r>
              <w:rPr>
                <w:b w:val="false"/>
                <w:bCs w:val="false"/>
                <w:color w:val="000000"/>
                <w:sz w:val="19"/>
                <w:szCs w:val="19"/>
              </w:rPr>
              <w:t xml:space="preserve">62,3%</w:t>
            </w:r>
          </w:p>
        </w:tc>
      </w:tr>
    </w:tbl>
    <w:p>
      <w:pPr>
        <w:spacing w:after="160"/>
        <w:jc w:val="both"/>
      </w:pPr>
      <w:r>
        <w:rPr>
          <w:sz w:val="21"/>
          <w:szCs w:val="21"/>
        </w:rPr>
        <w:t xml:space="preserve"/>
      </w:r>
    </w:p>
    <w:p>
      <w:pPr>
        <w:spacing w:after="160"/>
        <w:jc w:val="both"/>
      </w:pPr>
      <w:r>
        <w:rPr>
          <w:sz w:val="21"/>
          <w:szCs w:val="21"/>
        </w:rPr>
        <w:t xml:space="preserve">O padrão é o mesmo observado no produto de referência: strikes conservadores (-0,5σ) capturam a maioria dos meses caros (91,3% de sensibilidade) à custa de mais falsos positivos (baixa precisão, 29,6%); strikes agressivos (+1,0σ) invertem essa relação. Não há strike que resolva as duas pontas simultaneamente — natureza estrutural de qualquer derivativo paramétrico.</w:t>
      </w:r>
    </w:p>
    <w:p>
      <w:pPr>
        <w:pStyle w:val="Heading1"/>
        <w:spacing w:after="160" w:before="320"/>
        <w:rPr>
          <w:b/>
          <w:bCs/>
          <w:color w:val="1F3864"/>
        </w:rPr>
      </w:pPr>
      <w:r>
        <w:t xml:space="preserve">8. Hedging Effectiveness — Resultado Positivo</w:t>
      </w:r>
    </w:p>
    <w:p>
      <w:pPr>
        <w:spacing w:after="160"/>
        <w:jc w:val="both"/>
      </w:pPr>
      <w:r>
        <w:rPr>
          <w:sz w:val="21"/>
          <w:szCs w:val="21"/>
        </w:rPr>
        <w:t xml:space="preserve">Aplicando a mesma metodologia padrão da literatura (redução de semi-variância, Vedenov &amp; Barnett 2004) usada no produto de referência, com uma adaptação necessária: como este produto hedge CUSTO, não RECEITA, a semi-variância usa o Upper Partial Moment (penaliza desvios ACIMA da média, não abaixo) — custo alto é o "downside" de quem paga, o espelho exato da lógica usada no produto de receita.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2000"/>
      </w:tblGrid>
      <w:tr>
        <w:tc>
          <w:tcPr>
            <w:tcW w:type="dxa" w:w="2000"/>
            <w:shd w:fill="375623" w:val="clear"/>
            <w:vAlign w:val="center"/>
          </w:tcPr>
          <w:p>
            <w:pPr>
              <w:jc w:val="center"/>
            </w:pPr>
            <w:r>
              <w:rPr>
                <w:b/>
                <w:bCs/>
                <w:color w:val="FFFFFF"/>
                <w:sz w:val="19"/>
                <w:szCs w:val="19"/>
              </w:rPr>
              <w:t xml:space="preserve">Strike</w:t>
            </w:r>
          </w:p>
        </w:tc>
        <w:tc>
          <w:tcPr>
            <w:tcW w:type="dxa" w:w="2000"/>
            <w:shd w:fill="375623" w:val="clear"/>
            <w:vAlign w:val="center"/>
          </w:tcPr>
          <w:p>
            <w:pPr>
              <w:jc w:val="center"/>
            </w:pPr>
            <w:r>
              <w:rPr>
                <w:b/>
                <w:bCs/>
                <w:color w:val="FFFFFF"/>
                <w:sz w:val="19"/>
                <w:szCs w:val="19"/>
              </w:rPr>
              <w:t xml:space="preserve">Prêmio (R$)</w:t>
            </w:r>
          </w:p>
        </w:tc>
        <w:tc>
          <w:tcPr>
            <w:tcW w:type="dxa" w:w="2000"/>
            <w:shd w:fill="375623" w:val="clear"/>
            <w:vAlign w:val="center"/>
          </w:tcPr>
          <w:p>
            <w:pPr>
              <w:jc w:val="center"/>
            </w:pPr>
            <w:r>
              <w:rPr>
                <w:b/>
                <w:bCs/>
                <w:color w:val="FFFFFF"/>
                <w:sz w:val="19"/>
                <w:szCs w:val="19"/>
              </w:rPr>
              <w:t xml:space="preserve">Efetividade</w:t>
            </w:r>
          </w:p>
        </w:tc>
        <w:tc>
          <w:tcPr>
            <w:tcW w:type="dxa" w:w="2000"/>
            <w:shd w:fill="375623" w:val="clear"/>
            <w:vAlign w:val="center"/>
          </w:tcPr>
          <w:p>
            <w:pPr>
              <w:jc w:val="center"/>
            </w:pPr>
            <w:r>
              <w:rPr>
                <w:b/>
                <w:bCs/>
                <w:color w:val="FFFFFF"/>
                <w:sz w:val="19"/>
                <w:szCs w:val="19"/>
              </w:rPr>
              <w:t xml:space="preserve">vs. Agro (ref.)</w:t>
            </w:r>
          </w:p>
        </w:tc>
      </w:tr>
      <w:tr>
        <w:tc>
          <w:tcPr>
            <w:tcW w:type="dxa" w:w="2000"/>
            <w:shd w:fill="E2EFDA" w:val="clear"/>
            <w:vAlign w:val="center"/>
          </w:tcPr>
          <w:p>
            <w:pPr>
              <w:jc w:val="center"/>
            </w:pPr>
            <w:r>
              <w:rPr>
                <w:b w:val="false"/>
                <w:bCs w:val="false"/>
                <w:color w:val="000000"/>
                <w:sz w:val="19"/>
                <w:szCs w:val="19"/>
              </w:rPr>
              <w:t xml:space="preserve">-0,5σ</w:t>
            </w:r>
          </w:p>
        </w:tc>
        <w:tc>
          <w:tcPr>
            <w:tcW w:type="dxa" w:w="2000"/>
            <w:shd w:fill="E2EFDA" w:val="clear"/>
            <w:vAlign w:val="center"/>
          </w:tcPr>
          <w:p>
            <w:pPr>
              <w:jc w:val="center"/>
            </w:pPr>
            <w:r>
              <w:rPr>
                <w:b w:val="false"/>
                <w:bCs w:val="false"/>
                <w:color w:val="000000"/>
                <w:sz w:val="19"/>
                <w:szCs w:val="19"/>
              </w:rPr>
              <w:t xml:space="preserve">R$ 134.586</w:t>
            </w:r>
          </w:p>
        </w:tc>
        <w:tc>
          <w:tcPr>
            <w:tcW w:type="dxa" w:w="2000"/>
            <w:shd w:fill="E2EFDA" w:val="clear"/>
            <w:vAlign w:val="center"/>
          </w:tcPr>
          <w:p>
            <w:pPr>
              <w:jc w:val="center"/>
            </w:pPr>
            <w:r>
              <w:rPr>
                <w:b/>
                <w:bCs/>
                <w:color w:val="375623"/>
                <w:sz w:val="19"/>
                <w:szCs w:val="19"/>
              </w:rPr>
              <w:t xml:space="preserve">60,5%</w:t>
            </w:r>
          </w:p>
        </w:tc>
        <w:tc>
          <w:tcPr>
            <w:tcW w:type="dxa" w:w="2000"/>
            <w:shd w:fill="E2EFDA" w:val="clear"/>
            <w:vAlign w:val="center"/>
          </w:tcPr>
          <w:p>
            <w:pPr>
              <w:jc w:val="center"/>
            </w:pPr>
            <w:r>
              <w:rPr>
                <w:b w:val="false"/>
                <w:bCs w:val="false"/>
                <w:color w:val="000000"/>
                <w:sz w:val="19"/>
                <w:szCs w:val="19"/>
              </w:rPr>
              <w:t xml:space="preserve">Negativo em todos os strikes</w:t>
            </w:r>
          </w:p>
        </w:tc>
      </w:tr>
      <w:tr>
        <w:tc>
          <w:tcPr>
            <w:tcW w:type="dxa" w:w="2000"/>
            <w:shd w:fill="FFFFFF" w:val="clear"/>
            <w:vAlign w:val="center"/>
          </w:tcPr>
          <w:p>
            <w:pPr>
              <w:jc w:val="center"/>
            </w:pPr>
            <w:r>
              <w:rPr>
                <w:b w:val="false"/>
                <w:bCs w:val="false"/>
                <w:color w:val="000000"/>
                <w:sz w:val="19"/>
                <w:szCs w:val="19"/>
              </w:rPr>
              <w:t xml:space="preserve">+0,0σ</w:t>
            </w:r>
          </w:p>
        </w:tc>
        <w:tc>
          <w:tcPr>
            <w:tcW w:type="dxa" w:w="2000"/>
            <w:shd w:fill="FFFFFF" w:val="clear"/>
            <w:vAlign w:val="center"/>
          </w:tcPr>
          <w:p>
            <w:pPr>
              <w:jc w:val="center"/>
            </w:pPr>
            <w:r>
              <w:rPr>
                <w:b w:val="false"/>
                <w:bCs w:val="false"/>
                <w:color w:val="000000"/>
                <w:sz w:val="19"/>
                <w:szCs w:val="19"/>
              </w:rPr>
              <w:t xml:space="preserve">R$ 90.260</w:t>
            </w:r>
          </w:p>
        </w:tc>
        <w:tc>
          <w:tcPr>
            <w:tcW w:type="dxa" w:w="2000"/>
            <w:shd w:fill="FFFFFF" w:val="clear"/>
            <w:vAlign w:val="center"/>
          </w:tcPr>
          <w:p>
            <w:pPr>
              <w:jc w:val="center"/>
            </w:pPr>
            <w:r>
              <w:rPr>
                <w:b/>
                <w:bCs/>
                <w:color w:val="375623"/>
                <w:sz w:val="19"/>
                <w:szCs w:val="19"/>
              </w:rPr>
              <w:t xml:space="preserve">48,6%</w:t>
            </w:r>
          </w:p>
        </w:tc>
        <w:tc>
          <w:tcPr>
            <w:tcW w:type="dxa" w:w="2000"/>
            <w:shd w:fill="FFFFFF" w:val="clear"/>
            <w:vAlign w:val="center"/>
          </w:tcPr>
          <w:p>
            <w:pPr>
              <w:jc w:val="center"/>
            </w:pPr>
            <w:r>
              <w:rPr>
                <w:b w:val="false"/>
                <w:bCs w:val="false"/>
                <w:color w:val="000000"/>
                <w:sz w:val="19"/>
                <w:szCs w:val="19"/>
              </w:rPr>
              <w:t xml:space="preserve">Negativo em todos os strikes</w:t>
            </w:r>
          </w:p>
        </w:tc>
      </w:tr>
      <w:tr>
        <w:tc>
          <w:tcPr>
            <w:tcW w:type="dxa" w:w="2000"/>
            <w:shd w:fill="E2EFDA" w:val="clear"/>
            <w:vAlign w:val="center"/>
          </w:tcPr>
          <w:p>
            <w:pPr>
              <w:jc w:val="center"/>
            </w:pPr>
            <w:r>
              <w:rPr>
                <w:b w:val="false"/>
                <w:bCs w:val="false"/>
                <w:color w:val="000000"/>
                <w:sz w:val="19"/>
                <w:szCs w:val="19"/>
              </w:rPr>
              <w:t xml:space="preserve">+1,0σ</w:t>
            </w:r>
          </w:p>
        </w:tc>
        <w:tc>
          <w:tcPr>
            <w:tcW w:type="dxa" w:w="2000"/>
            <w:shd w:fill="E2EFDA" w:val="clear"/>
            <w:vAlign w:val="center"/>
          </w:tcPr>
          <w:p>
            <w:pPr>
              <w:jc w:val="center"/>
            </w:pPr>
            <w:r>
              <w:rPr>
                <w:b w:val="false"/>
                <w:bCs w:val="false"/>
                <w:color w:val="000000"/>
                <w:sz w:val="19"/>
                <w:szCs w:val="19"/>
              </w:rPr>
              <w:t xml:space="preserve">R$ 28.437</w:t>
            </w:r>
          </w:p>
        </w:tc>
        <w:tc>
          <w:tcPr>
            <w:tcW w:type="dxa" w:w="2000"/>
            <w:shd w:fill="E2EFDA" w:val="clear"/>
            <w:vAlign w:val="center"/>
          </w:tcPr>
          <w:p>
            <w:pPr>
              <w:jc w:val="center"/>
            </w:pPr>
            <w:r>
              <w:rPr>
                <w:b/>
                <w:bCs/>
                <w:color w:val="375623"/>
                <w:sz w:val="19"/>
                <w:szCs w:val="19"/>
              </w:rPr>
              <w:t xml:space="preserve">19,8%</w:t>
            </w:r>
          </w:p>
        </w:tc>
        <w:tc>
          <w:tcPr>
            <w:tcW w:type="dxa" w:w="2000"/>
            <w:shd w:fill="E2EFDA" w:val="clear"/>
            <w:vAlign w:val="center"/>
          </w:tcPr>
          <w:p>
            <w:pPr>
              <w:jc w:val="center"/>
            </w:pPr>
            <w:r>
              <w:rPr>
                <w:b w:val="false"/>
                <w:bCs w:val="false"/>
                <w:color w:val="000000"/>
                <w:sz w:val="19"/>
                <w:szCs w:val="19"/>
              </w:rPr>
              <w:t xml:space="preserve">Negativo em todos os strikes</w:t>
            </w:r>
          </w:p>
        </w:tc>
      </w:tr>
    </w:tbl>
    <w:p>
      <w:pPr>
        <w:spacing w:after="160"/>
        <w:jc w:val="both"/>
      </w:pPr>
      <w:r>
        <w:rPr>
          <w:sz w:val="21"/>
          <w:szCs w:val="21"/>
        </w:rPr>
        <w:t xml:space="preserve"/>
      </w:r>
    </w:p>
    <w:p>
      <w:pPr>
        <w:spacing w:after="160"/>
        <w:jc w:val="both"/>
      </w:pPr>
      <w:r>
        <w:rPr>
          <w:sz w:val="21"/>
          <w:szCs w:val="21"/>
        </w:rPr>
        <w:t xml:space="preserve">O resultado é POSITIVO em todos os strikes testados — diferente do produto de referência, onde a mesma metodologia revelou efetividade negativa em todo o espaço de strikes testado. A explicação estrutural: aqui, o payoff do derivativo e o custo que ele protege compartilham o MESMO PLD realizado no mês (payoff = MW_extra × PLD; custo = MW_extra_total × PLD) — mesmo com a correlação CDD↔PLD sendo fraca isoladamente (r≈0,08–0,13), o hedge acompanha corretamente o risco de preço por construção multiplicativa, sem depender de uma correlação forte entre temperatura e preço para ser efetivo. Isso contrasta com o produto agrícola, onde o payoff (função da chuva) e a receita (função de produtividade) não compartilhavam nenhuma variável em comum além de uma correlação fraca e indireta.</w:t>
      </w:r>
    </w:p>
    <w:p>
      <w:pPr>
        <w:pStyle w:val="Heading1"/>
        <w:spacing w:after="160" w:before="320"/>
        <w:rPr>
          <w:b/>
          <w:bCs/>
          <w:color w:val="1F3864"/>
        </w:rPr>
      </w:pPr>
      <w:r>
        <w:t xml:space="preserve">9. Validação da Temperatura Base — Testada, Não Herdada</w:t>
      </w:r>
    </w:p>
    <w:p>
      <w:pPr>
        <w:spacing w:after="160"/>
        <w:jc w:val="both"/>
      </w:pPr>
      <w:r>
        <w:rPr>
          <w:sz w:val="21"/>
          <w:szCs w:val="21"/>
        </w:rPr>
        <w:t xml:space="preserve">O produto de referência (CME, mercado americano) usa 65°F/18,33°C como temperatura base para o índice de graus-dia — um número desenvolvido para o clima e o parque construído dos Estados Unidos. Antes de simplesmente herdar essa convenção para São Paulo, testou-se diretamente: qual temperatura base maximiza o poder explicativo (R²) do modelo real de carga do SE/CO? Repetiu-se a regressão diária controlada por dia da semana (Seção 5.4) variando a base de 14°C a 23,5°C, em passos de 0,5°C.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500"/>
      </w:tblGrid>
      <w:tr>
        <w:tc>
          <w:tcPr>
            <w:tcW w:type="dxa" w:w="2000"/>
            <w:shd w:fill="C55A11" w:val="clear"/>
            <w:vAlign w:val="center"/>
          </w:tcPr>
          <w:p>
            <w:pPr>
              <w:jc w:val="center"/>
            </w:pPr>
            <w:r>
              <w:rPr>
                <w:b/>
                <w:bCs/>
                <w:color w:val="FFFFFF"/>
                <w:sz w:val="19"/>
                <w:szCs w:val="19"/>
              </w:rPr>
              <w:t xml:space="preserve">Base (°C)</w:t>
            </w:r>
          </w:p>
        </w:tc>
        <w:tc>
          <w:tcPr>
            <w:tcW w:type="dxa" w:w="2000"/>
            <w:shd w:fill="C55A11" w:val="clear"/>
            <w:vAlign w:val="center"/>
          </w:tcPr>
          <w:p>
            <w:pPr>
              <w:jc w:val="center"/>
            </w:pPr>
            <w:r>
              <w:rPr>
                <w:b/>
                <w:bCs/>
                <w:color w:val="FFFFFF"/>
                <w:sz w:val="19"/>
                <w:szCs w:val="19"/>
              </w:rPr>
              <w:t xml:space="preserve">Base (°F)</w:t>
            </w:r>
          </w:p>
        </w:tc>
        <w:tc>
          <w:tcPr>
            <w:tcW w:type="dxa" w:w="2000"/>
            <w:shd w:fill="C55A11" w:val="clear"/>
            <w:vAlign w:val="center"/>
          </w:tcPr>
          <w:p>
            <w:pPr>
              <w:jc w:val="center"/>
            </w:pPr>
            <w:r>
              <w:rPr>
                <w:b/>
                <w:bCs/>
                <w:color w:val="FFFFFF"/>
                <w:sz w:val="19"/>
                <w:szCs w:val="19"/>
              </w:rPr>
              <w:t xml:space="preserve">R²</w:t>
            </w:r>
          </w:p>
        </w:tc>
        <w:tc>
          <w:tcPr>
            <w:tcW w:type="dxa" w:w="2000"/>
            <w:shd w:fill="C55A11" w:val="clear"/>
            <w:vAlign w:val="center"/>
          </w:tcPr>
          <w:p>
            <w:pPr>
              <w:jc w:val="center"/>
            </w:pPr>
            <w:r>
              <w:rPr>
                <w:b/>
                <w:bCs/>
                <w:color w:val="FFFFFF"/>
                <w:sz w:val="19"/>
                <w:szCs w:val="19"/>
              </w:rPr>
              <w:t xml:space="preserve">Observação</w:t>
            </w:r>
          </w:p>
        </w:tc>
      </w:tr>
      <w:tr>
        <w:tc>
          <w:tcPr>
            <w:tcW w:type="dxa" w:w="2000"/>
            <w:shd w:fill="F2F2F2" w:val="clear"/>
            <w:vAlign w:val="center"/>
          </w:tcPr>
          <w:p>
            <w:pPr>
              <w:jc w:val="center"/>
            </w:pPr>
            <w:r>
              <w:rPr>
                <w:b/>
                <w:bCs/>
                <w:color w:val="000000"/>
                <w:sz w:val="19"/>
                <w:szCs w:val="19"/>
              </w:rPr>
              <w:t xml:space="preserve">17,0</w:t>
            </w:r>
          </w:p>
        </w:tc>
        <w:tc>
          <w:tcPr>
            <w:tcW w:type="dxa" w:w="2000"/>
            <w:shd w:fill="F2F2F2" w:val="clear"/>
            <w:vAlign w:val="center"/>
          </w:tcPr>
          <w:p>
            <w:pPr>
              <w:jc w:val="center"/>
            </w:pPr>
            <w:r>
              <w:rPr>
                <w:b w:val="false"/>
                <w:bCs w:val="false"/>
                <w:color w:val="000000"/>
                <w:sz w:val="19"/>
                <w:szCs w:val="19"/>
              </w:rPr>
              <w:t xml:space="preserve">62,6</w:t>
            </w:r>
          </w:p>
        </w:tc>
        <w:tc>
          <w:tcPr>
            <w:tcW w:type="dxa" w:w="2000"/>
            <w:shd w:fill="F2F2F2" w:val="clear"/>
            <w:vAlign w:val="center"/>
          </w:tcPr>
          <w:p>
            <w:pPr>
              <w:jc w:val="center"/>
            </w:pPr>
            <w:r>
              <w:rPr>
                <w:b w:val="false"/>
                <w:bCs w:val="false"/>
                <w:color w:val="000000"/>
                <w:sz w:val="19"/>
                <w:szCs w:val="19"/>
              </w:rPr>
              <w:t xml:space="preserve">0,6500</w:t>
            </w:r>
          </w:p>
        </w:tc>
        <w:tc>
          <w:tcPr>
            <w:tcW w:type="dxa" w:w="2000"/>
            <w:shd w:fill="F2F2F2" w:val="clear"/>
            <w:vAlign w:val="center"/>
          </w:tcPr>
          <w:p>
            <w:pPr>
              <w:jc w:val="center"/>
            </w:pPr>
            <w:r>
              <w:rPr>
                <w:b w:val="false"/>
                <w:bCs w:val="false"/>
                <w:color w:val="000000"/>
                <w:sz w:val="19"/>
                <w:szCs w:val="19"/>
              </w:rPr>
              <w:t xml:space="preserve"/>
            </w:r>
          </w:p>
        </w:tc>
      </w:tr>
      <w:tr>
        <w:tc>
          <w:tcPr>
            <w:tcW w:type="dxa" w:w="2000"/>
            <w:shd w:fill="FFFFFF" w:val="clear"/>
            <w:vAlign w:val="center"/>
          </w:tcPr>
          <w:p>
            <w:pPr>
              <w:jc w:val="center"/>
            </w:pPr>
            <w:r>
              <w:rPr>
                <w:b/>
                <w:bCs/>
                <w:color w:val="000000"/>
                <w:sz w:val="19"/>
                <w:szCs w:val="19"/>
              </w:rPr>
              <w:t xml:space="preserve">18,0</w:t>
            </w:r>
          </w:p>
        </w:tc>
        <w:tc>
          <w:tcPr>
            <w:tcW w:type="dxa" w:w="2000"/>
            <w:shd w:fill="FFFFFF" w:val="clear"/>
            <w:vAlign w:val="center"/>
          </w:tcPr>
          <w:p>
            <w:pPr>
              <w:jc w:val="center"/>
            </w:pPr>
            <w:r>
              <w:rPr>
                <w:b w:val="false"/>
                <w:bCs w:val="false"/>
                <w:color w:val="000000"/>
                <w:sz w:val="19"/>
                <w:szCs w:val="19"/>
              </w:rPr>
              <w:t xml:space="preserve">64,4</w:t>
            </w:r>
          </w:p>
        </w:tc>
        <w:tc>
          <w:tcPr>
            <w:tcW w:type="dxa" w:w="2000"/>
            <w:shd w:fill="FFFFFF" w:val="clear"/>
            <w:vAlign w:val="center"/>
          </w:tcPr>
          <w:p>
            <w:pPr>
              <w:jc w:val="center"/>
            </w:pPr>
            <w:r>
              <w:rPr>
                <w:b w:val="false"/>
                <w:bCs w:val="false"/>
                <w:color w:val="000000"/>
                <w:sz w:val="19"/>
                <w:szCs w:val="19"/>
              </w:rPr>
              <w:t xml:space="preserve">0,6531</w:t>
            </w:r>
          </w:p>
        </w:tc>
        <w:tc>
          <w:tcPr>
            <w:tcW w:type="dxa" w:w="2000"/>
            <w:shd w:fill="FFFFFF" w:val="clear"/>
            <w:vAlign w:val="center"/>
          </w:tcPr>
          <w:p>
            <w:pPr>
              <w:jc w:val="center"/>
            </w:pPr>
            <w:r>
              <w:rPr>
                <w:b w:val="false"/>
                <w:bCs w:val="false"/>
                <w:color w:val="000000"/>
                <w:sz w:val="19"/>
                <w:szCs w:val="19"/>
              </w:rPr>
              <w:t xml:space="preserve"/>
            </w:r>
          </w:p>
        </w:tc>
      </w:tr>
      <w:tr>
        <w:tc>
          <w:tcPr>
            <w:tcW w:type="dxa" w:w="2000"/>
            <w:shd w:fill="FFF2CC" w:val="clear"/>
            <w:vAlign w:val="center"/>
          </w:tcPr>
          <w:p>
            <w:pPr>
              <w:jc w:val="center"/>
            </w:pPr>
            <w:r>
              <w:rPr>
                <w:b/>
                <w:bCs/>
                <w:color w:val="000000"/>
                <w:sz w:val="19"/>
                <w:szCs w:val="19"/>
              </w:rPr>
              <w:t xml:space="preserve">18,33</w:t>
            </w:r>
          </w:p>
        </w:tc>
        <w:tc>
          <w:tcPr>
            <w:tcW w:type="dxa" w:w="2000"/>
            <w:shd w:fill="FFF2CC" w:val="clear"/>
            <w:vAlign w:val="center"/>
          </w:tcPr>
          <w:p>
            <w:pPr>
              <w:jc w:val="center"/>
            </w:pPr>
            <w:r>
              <w:rPr>
                <w:b/>
                <w:bCs/>
                <w:color w:val="000000"/>
                <w:sz w:val="19"/>
                <w:szCs w:val="19"/>
              </w:rPr>
              <w:t xml:space="preserve">65,0</w:t>
            </w:r>
          </w:p>
        </w:tc>
        <w:tc>
          <w:tcPr>
            <w:tcW w:type="dxa" w:w="2000"/>
            <w:shd w:fill="FFF2CC" w:val="clear"/>
            <w:vAlign w:val="center"/>
          </w:tcPr>
          <w:p>
            <w:pPr>
              <w:jc w:val="center"/>
            </w:pPr>
            <w:r>
              <w:rPr>
                <w:b/>
                <w:bCs/>
                <w:color w:val="000000"/>
                <w:sz w:val="19"/>
                <w:szCs w:val="19"/>
              </w:rPr>
              <w:t xml:space="preserve">≈0,6536</w:t>
            </w:r>
          </w:p>
        </w:tc>
        <w:tc>
          <w:tcPr>
            <w:tcW w:type="dxa" w:w="2000"/>
            <w:shd w:fill="FFF2CC" w:val="clear"/>
            <w:vAlign w:val="center"/>
          </w:tcPr>
          <w:p>
            <w:pPr>
              <w:jc w:val="center"/>
            </w:pPr>
            <w:r>
              <w:rPr>
                <w:b/>
                <w:bCs/>
                <w:color w:val="000000"/>
                <w:sz w:val="19"/>
                <w:szCs w:val="19"/>
              </w:rPr>
              <w:t xml:space="preserve">Convenção CME</w:t>
            </w:r>
          </w:p>
        </w:tc>
      </w:tr>
      <w:tr>
        <w:tc>
          <w:tcPr>
            <w:tcW w:type="dxa" w:w="2000"/>
            <w:shd w:fill="FFF2CC" w:val="clear"/>
            <w:vAlign w:val="center"/>
          </w:tcPr>
          <w:p>
            <w:pPr>
              <w:jc w:val="center"/>
            </w:pPr>
            <w:r>
              <w:rPr>
                <w:b/>
                <w:bCs/>
                <w:color w:val="000000"/>
                <w:sz w:val="19"/>
                <w:szCs w:val="19"/>
              </w:rPr>
              <w:t xml:space="preserve">18,5</w:t>
            </w:r>
          </w:p>
        </w:tc>
        <w:tc>
          <w:tcPr>
            <w:tcW w:type="dxa" w:w="2000"/>
            <w:shd w:fill="FFF2CC" w:val="clear"/>
            <w:vAlign w:val="center"/>
          </w:tcPr>
          <w:p>
            <w:pPr>
              <w:jc w:val="center"/>
            </w:pPr>
            <w:r>
              <w:rPr>
                <w:b/>
                <w:bCs/>
                <w:color w:val="000000"/>
                <w:sz w:val="19"/>
                <w:szCs w:val="19"/>
              </w:rPr>
              <w:t xml:space="preserve">65,3</w:t>
            </w:r>
          </w:p>
        </w:tc>
        <w:tc>
          <w:tcPr>
            <w:tcW w:type="dxa" w:w="2000"/>
            <w:shd w:fill="FFF2CC" w:val="clear"/>
            <w:vAlign w:val="center"/>
          </w:tcPr>
          <w:p>
            <w:pPr>
              <w:jc w:val="center"/>
            </w:pPr>
            <w:r>
              <w:rPr>
                <w:b/>
                <w:bCs/>
                <w:color w:val="000000"/>
                <w:sz w:val="19"/>
                <w:szCs w:val="19"/>
              </w:rPr>
              <w:t xml:space="preserve">0,6536</w:t>
            </w:r>
          </w:p>
        </w:tc>
        <w:tc>
          <w:tcPr>
            <w:tcW w:type="dxa" w:w="2000"/>
            <w:shd w:fill="FFF2CC" w:val="clear"/>
            <w:vAlign w:val="center"/>
          </w:tcPr>
          <w:p>
            <w:pPr>
              <w:jc w:val="center"/>
            </w:pPr>
            <w:r>
              <w:rPr>
                <w:b/>
                <w:bCs/>
                <w:color w:val="000000"/>
                <w:sz w:val="19"/>
                <w:szCs w:val="19"/>
              </w:rPr>
              <w:t xml:space="preserve">Ótimo empírico</w:t>
            </w:r>
          </w:p>
        </w:tc>
      </w:tr>
      <w:tr>
        <w:tc>
          <w:tcPr>
            <w:tcW w:type="dxa" w:w="2000"/>
            <w:shd w:fill="F2F2F2" w:val="clear"/>
            <w:vAlign w:val="center"/>
          </w:tcPr>
          <w:p>
            <w:pPr>
              <w:jc w:val="center"/>
            </w:pPr>
            <w:r>
              <w:rPr>
                <w:b/>
                <w:bCs/>
                <w:color w:val="000000"/>
                <w:sz w:val="19"/>
                <w:szCs w:val="19"/>
              </w:rPr>
              <w:t xml:space="preserve">19,0</w:t>
            </w:r>
          </w:p>
        </w:tc>
        <w:tc>
          <w:tcPr>
            <w:tcW w:type="dxa" w:w="2000"/>
            <w:shd w:fill="F2F2F2" w:val="clear"/>
            <w:vAlign w:val="center"/>
          </w:tcPr>
          <w:p>
            <w:pPr>
              <w:jc w:val="center"/>
            </w:pPr>
            <w:r>
              <w:rPr>
                <w:b w:val="false"/>
                <w:bCs w:val="false"/>
                <w:color w:val="000000"/>
                <w:sz w:val="19"/>
                <w:szCs w:val="19"/>
              </w:rPr>
              <w:t xml:space="preserve">66,2</w:t>
            </w:r>
          </w:p>
        </w:tc>
        <w:tc>
          <w:tcPr>
            <w:tcW w:type="dxa" w:w="2000"/>
            <w:shd w:fill="F2F2F2" w:val="clear"/>
            <w:vAlign w:val="center"/>
          </w:tcPr>
          <w:p>
            <w:pPr>
              <w:jc w:val="center"/>
            </w:pPr>
            <w:r>
              <w:rPr>
                <w:b w:val="false"/>
                <w:bCs w:val="false"/>
                <w:color w:val="000000"/>
                <w:sz w:val="19"/>
                <w:szCs w:val="19"/>
              </w:rPr>
              <w:t xml:space="preserve">0,6527</w:t>
            </w:r>
          </w:p>
        </w:tc>
        <w:tc>
          <w:tcPr>
            <w:tcW w:type="dxa" w:w="2000"/>
            <w:shd w:fill="F2F2F2" w:val="clear"/>
            <w:vAlign w:val="center"/>
          </w:tcPr>
          <w:p>
            <w:pPr>
              <w:jc w:val="center"/>
            </w:pPr>
            <w:r>
              <w:rPr>
                <w:b w:val="false"/>
                <w:bCs w:val="false"/>
                <w:color w:val="000000"/>
                <w:sz w:val="19"/>
                <w:szCs w:val="19"/>
              </w:rPr>
              <w:t xml:space="preserve"/>
            </w:r>
          </w:p>
        </w:tc>
      </w:tr>
      <w:tr>
        <w:tc>
          <w:tcPr>
            <w:tcW w:type="dxa" w:w="2000"/>
            <w:shd w:fill="FFFFFF" w:val="clear"/>
            <w:vAlign w:val="center"/>
          </w:tcPr>
          <w:p>
            <w:pPr>
              <w:jc w:val="center"/>
            </w:pPr>
            <w:r>
              <w:rPr>
                <w:b/>
                <w:bCs/>
                <w:color w:val="000000"/>
                <w:sz w:val="19"/>
                <w:szCs w:val="19"/>
              </w:rPr>
              <w:t xml:space="preserve">20,0</w:t>
            </w:r>
          </w:p>
        </w:tc>
        <w:tc>
          <w:tcPr>
            <w:tcW w:type="dxa" w:w="2000"/>
            <w:shd w:fill="FFFFFF" w:val="clear"/>
            <w:vAlign w:val="center"/>
          </w:tcPr>
          <w:p>
            <w:pPr>
              <w:jc w:val="center"/>
            </w:pPr>
            <w:r>
              <w:rPr>
                <w:b w:val="false"/>
                <w:bCs w:val="false"/>
                <w:color w:val="000000"/>
                <w:sz w:val="19"/>
                <w:szCs w:val="19"/>
              </w:rPr>
              <w:t xml:space="preserve">68,0</w:t>
            </w:r>
          </w:p>
        </w:tc>
        <w:tc>
          <w:tcPr>
            <w:tcW w:type="dxa" w:w="2000"/>
            <w:shd w:fill="FFFFFF" w:val="clear"/>
            <w:vAlign w:val="center"/>
          </w:tcPr>
          <w:p>
            <w:pPr>
              <w:jc w:val="center"/>
            </w:pPr>
            <w:r>
              <w:rPr>
                <w:b w:val="false"/>
                <w:bCs w:val="false"/>
                <w:color w:val="000000"/>
                <w:sz w:val="19"/>
                <w:szCs w:val="19"/>
              </w:rPr>
              <w:t xml:space="preserve">0,6455</w:t>
            </w:r>
          </w:p>
        </w:tc>
        <w:tc>
          <w:tcPr>
            <w:tcW w:type="dxa" w:w="2000"/>
            <w:shd w:fill="FFFFFF" w:val="clear"/>
            <w:vAlign w:val="center"/>
          </w:tcPr>
          <w:p>
            <w:pPr>
              <w:jc w:val="center"/>
            </w:pPr>
            <w:r>
              <w:rPr>
                <w:b w:val="false"/>
                <w:bCs w:val="false"/>
                <w:color w:val="000000"/>
                <w:sz w:val="19"/>
                <w:szCs w:val="19"/>
              </w:rPr>
              <w:t xml:space="preserve"/>
            </w:r>
          </w:p>
        </w:tc>
      </w:tr>
    </w:tbl>
    <w:p>
      <w:pPr>
        <w:spacing w:after="160"/>
        <w:jc w:val="both"/>
      </w:pPr>
      <w:r>
        <w:rPr>
          <w:sz w:val="21"/>
          <w:szCs w:val="21"/>
        </w:rPr>
        <w:t xml:space="preserve"/>
      </w:r>
    </w:p>
    <w:p>
      <w:pPr>
        <w:spacing w:after="160"/>
        <w:jc w:val="both"/>
      </w:pPr>
      <w:r>
        <w:rPr>
          <w:sz w:val="21"/>
          <w:szCs w:val="21"/>
        </w:rPr>
        <w:t xml:space="preserve">O resultado é ao mesmo tempo surpreendente e explicável: a base que maximiza o R² real (18,5°C) fica a menos de 0,2°C da convenção do CME (18,33°C) — uma diferença desprezível diante da curva relativamente achatada ao redor do ótimo (entre 18°C e 19°C, o R² varia menos de 0,001).</w:t>
      </w:r>
    </w:p>
    <w:p>
      <w:pPr>
        <w:pStyle w:val="Heading2"/>
        <w:spacing w:after="100" w:before="220"/>
        <w:rPr>
          <w:b/>
          <w:bCs/>
          <w:color w:val="2E5496"/>
          <w:sz w:val="24"/>
          <w:szCs w:val="24"/>
        </w:rPr>
      </w:pPr>
      <w:r>
        <w:t xml:space="preserve">9.1 Por que o número "viaja" entre climas diferentes</w:t>
      </w:r>
    </w:p>
    <w:p>
      <w:pPr>
        <w:spacing w:after="160"/>
        <w:jc w:val="both"/>
      </w:pPr>
      <w:r>
        <w:rPr>
          <w:sz w:val="21"/>
          <w:szCs w:val="21"/>
        </w:rPr>
        <w:t xml:space="preserve">A temperatura base não descreve o clima local — descreve o ponto de equilíbrio térmico de um prédio típico: a temperatura externa na qual os ganhos internos de calor (pessoas, iluminação, equipamentos) já equilibram sozinhos a troca de calor pelo envelope da edificação, tornando climatização ativa desnecessária. Isso depende mais de física de construção e da faixa de conforto térmico humano — razoavelmente estável entre culturas — do que da temperatura média da região. Por isso o número pode se manter parecido mesmo entre climas bem diferentes.</w:t>
      </w:r>
    </w:p>
    <w:p>
      <w:pPr>
        <w:pStyle w:val="Heading2"/>
        <w:spacing w:after="100" w:before="220"/>
        <w:rPr>
          <w:b/>
          <w:bCs/>
          <w:color w:val="2E5496"/>
          <w:sz w:val="24"/>
          <w:szCs w:val="24"/>
        </w:rPr>
      </w:pPr>
      <w:r>
        <w:t xml:space="preserve">9.2 Ressalva — isto valida São Paulo, não o Brasil</w:t>
      </w:r>
    </w:p>
    <w:p>
      <w:pPr>
        <w:spacing w:after="160"/>
        <w:jc w:val="both"/>
      </w:pPr>
      <w:r>
        <w:rPr>
          <w:sz w:val="21"/>
          <w:szCs w:val="21"/>
        </w:rPr>
        <w:t xml:space="preserve">São Paulo tem clima subtropical de altitude (~800m), sensivelmente mais ameno que a maior parte do território brasileiro — o que provavelmente contribui para essa proximidade com a convenção americana. Isso NÃO deve ser generalizado para outras praças: cidades de clima tropical mais quente (Recife, Manaus, Rio de Janeiro) plausivelmente têm um ponto de equilíbrio empírico diferente. Caso este produto seja adaptado para outra cidade, este mesmo teste — não a reutilização do número de São Paulo — deve ser refeito.</w:t>
      </w:r>
    </w:p>
    <w:p>
      <w:pPr>
        <w:pStyle w:val="Heading1"/>
        <w:spacing w:after="160" w:before="320"/>
        <w:rPr>
          <w:b/>
          <w:bCs/>
          <w:color w:val="1F3864"/>
        </w:rPr>
      </w:pPr>
      <w:r>
        <w:t xml:space="preserve">10. Contexto de Mercado</w:t>
      </w:r>
    </w:p>
    <w:p>
      <w:pPr>
        <w:spacing w:after="160"/>
        <w:jc w:val="both"/>
      </w:pPr>
      <w:r>
        <w:rPr>
          <w:sz w:val="21"/>
          <w:szCs w:val="21"/>
        </w:rPr>
        <w:t xml:space="preserve">A pesquisa de mercado situou este produto dentro do universo mais amplo de weather derivatives: o setor de energia é o maior usuário de derivativos climáticos nos Estados Unidos, com aproximadamente 40% do market share global — o produto padrão-ouro do setor, historicamente dominante desde a desregulamentação de 1997. Contratos de precipitação (a família do produto de referência) são reconhecidos na literatura como um uso legítimo, porém consistentemente menor.</w:t>
      </w:r>
    </w:p>
    <w:p>
      <w:pPr>
        <w:spacing w:after="160"/>
        <w:jc w:val="both"/>
      </w:pPr>
      <w:r>
        <w:rPr>
          <w:sz w:val="21"/>
          <w:szCs w:val="21"/>
        </w:rPr>
        <w:t xml:space="preserve">A adaptação ao contexto brasileiro revelou uma diferença estrutural real, não presumida: o PLD no Brasil é dominado por valor da água — a Câmara de Comercialização de Energia Elétrica (CCEE) calcula o preço via modelos de otimização hidrotérmica (NEWAVE/DECOMP) que priorizam o custo de oportunidade da água armazenada, não um equilíbrio simples de oferta-demanda térmica. Isso explica por que a correlação direta CDD→PLD é fraca aqui, ao contrário de mercados termicamente dominados como os EUA, onde a relação é mais direta — e reforça por que a solução de bootstrap conjunto (Seção 5.3), que não depende dessa correlação direta ser forte, foi a escolha metodológica correta para este contexto específico.</w:t>
      </w:r>
    </w:p>
    <w:p>
      <w:pPr>
        <w:pStyle w:val="Heading1"/>
        <w:spacing w:after="160" w:before="320"/>
        <w:rPr>
          <w:b/>
          <w:bCs/>
          <w:color w:val="1F3864"/>
        </w:rPr>
      </w:pPr>
      <w:r>
        <w:t xml:space="preserve">11. Conclusão</w:t>
      </w:r>
    </w:p>
    <w:p>
      <w:pPr>
        <w:spacing w:after="160"/>
        <w:jc w:val="both"/>
      </w:pPr>
      <w:r>
        <w:rPr>
          <w:sz w:val="21"/>
          <w:szCs w:val="21"/>
        </w:rPr>
        <w:t xml:space="preserve">Este produto demonstra a mesma disciplina metodológica do produto de referência — testar cada escolha de desenho contra dado real, documentar o que não funcionou tanto quanto o que funcionou — aplicada a um contexto de mercado genuinamente diferente. Duas descobertas centrais distinguem este trabalho: primeiro, que a correlação direta entre o índice climático e o preço de liquidação é estruturalmente fraca no Brasil (ao contrário do pressuposto inicial, herdado da prática de mercado americana), exigindo uma solução de calibração (bootstrap de pares reais) mais sofisticada que um tick fixo. Segundo, que apesar dessa correlação fraca, a efetividade de hedge medida rigorosamente é POSITIVA e substancial — o oposto do resultado obtido para o produto agrícola de referência — porque a estrutura multiplicativa do payoff (quantidade × preço) captura o risco de custo real independentemente da força da correlação isolada entre temperatura e preço.</w:t>
      </w:r>
    </w:p>
    <w:p>
      <w:pPr>
        <w:spacing w:after="160"/>
        <w:jc w:val="both"/>
      </w:pPr>
      <w:r>
        <w:rPr>
          <w:sz w:val="21"/>
          <w:szCs w:val="21"/>
        </w:rPr>
        <w:t xml:space="preserve">O resultado é um segundo produto da mesma família de derivativos paramétricos, estruturalmente comparável ao de referência, mas analiticamente distinto o suficiente para demonstrar que a metodologia (não apenas o resultado de um produto específico) é o que generaliza.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Derivativo Paramétrico de Temperatura — SP/SE-CO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2026-08-19T18:34:15.246Z</dcterms:created>
  <dcterms:modified xsi:type="dcterms:W3CDTF">2026-08-19T18:34:15.272Z</dcterms:modified>
</cp:coreProperties>
</file>

<file path=docProps/custom.xml><?xml version="1.0" encoding="utf-8"?>
<Properties xmlns="http://schemas.openxmlformats.org/officeDocument/2006/custom-properties" xmlns:vt="http://schemas.openxmlformats.org/officeDocument/2006/docPropsVTypes"/>
</file>