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3A5F"/>
          <w:sz w:val="56"/>
          <w:szCs w:val="56"/>
        </w:rPr>
        <w:t xml:space="preserve">App Cessione del Credito</w:t>
      </w:r>
    </w:p>
    <w:p>
      <w:pPr>
        <w:spacing w:after="200"/>
        <w:jc w:val="center"/>
      </w:pPr>
      <w:r>
        <w:rPr>
          <w:color w:val="4A5568"/>
          <w:sz w:val="28"/>
          <w:szCs w:val="28"/>
        </w:rPr>
        <w:t xml:space="preserve">Documento di analisi e architettura</w:t>
      </w:r>
    </w:p>
    <w:p>
      <w:pPr>
        <w:spacing w:after="1200"/>
        <w:jc w:val="center"/>
      </w:pPr>
      <w:r>
        <w:rPr>
          <w:i/>
          <w:iCs/>
          <w:color w:val="4A5568"/>
          <w:sz w:val="22"/>
          <w:szCs w:val="22"/>
        </w:rPr>
        <w:t xml:space="preserve">Carrozzeria LYS Auto srl  —  integrazione con WinCar</w:t>
      </w:r>
    </w:p>
    <w:p>
      <w:pPr>
        <w:spacing w:after="120"/>
        <w:jc w:val="center"/>
      </w:pPr>
      <w:r>
        <w:rPr>
          <w:sz w:val="22"/>
          <w:szCs w:val="22"/>
        </w:rPr>
        <w:t xml:space="preserve">Preparato per: Luca Pietroni</w:t>
      </w:r>
    </w:p>
    <w:p>
      <w:pPr>
        <w:spacing w:after="1200"/>
        <w:jc w:val="center"/>
      </w:pPr>
      <w:r>
        <w:rPr>
          <w:i/>
          <w:iCs/>
          <w:color w:val="4A5568"/>
          <w:sz w:val="22"/>
          <w:szCs w:val="22"/>
        </w:rPr>
        <w:t xml:space="preserve">Data: maggio 2026  —  Versione: 1.0 — bozza per revisione</w:t>
      </w:r>
    </w:p>
    <w:p>
      <w:pPr>
        <w:pageBreakBefore/>
      </w:pPr>
      <w:r>
        <w:br/>
        <w:t xml:space="preserve"/>
      </w:r>
    </w:p>
    <w:p>
      <w:pPr>
        <w:pStyle w:val="Heading1"/>
      </w:pPr>
      <w:r>
        <w:t xml:space="preserve">1. Sintesi esecutiva</w:t>
      </w:r>
    </w:p>
    <w:p>
      <w:r>
        <w:t xml:space="preserve">Oggi la compilazione del modulo "Cessione di credito" viene fatta a mano dal cliente al banco della carrozzeria. È un foglio con quattordici campi (dati anagrafici, dati del veicolo, dinamica del sinistro, dati controparte e assicurazione) e il cliente deve ricopiare informazioni che la carrozzeria ha già inserito in WinCar pochi minuti prima. L'app proposta legge automaticamente i dati dal database di WinCar, precompila il modulo e lo offre per la stampa: il cliente firma solo l'originale e l'app archivia la scansione direttamente nella cartella della pratica.</w:t>
      </w:r>
    </w:p>
    <w:p>
      <w:r>
        <w:t xml:space="preserve">La fattibilità tecnica è alta: il database di WinCar è Microsoft Access Jet 4 (formato .mdb), aperto e ben documentato; il 95% dei campi del modulo è già presente nella tabella CARVEI, e i due campi mancanti (data e luogo di nascita del cedente) sono ricavabili matematicamente dal codice fiscale, che la carrozzeria registra sempre per la fatturazione.</w:t>
      </w:r>
    </w:p>
    <w:p>
      <w:r>
        <w:t xml:space="preserve">Stima di sviluppo: 7–8 giornate uomo per arrivare a un'app stabile in produzione, comprese le fasi di test e installazione come servizio Windows avviato all'accensione del PC.</w:t>
      </w:r>
    </w:p>
    <w:p>
      <w:r>
        <w:t xml:space="preserve">Rischio principale: nessun rischio sui dati del gestionale, perché l'app accede al DB esclusivamente in sola lettura. L'unica scrittura che l'app esegue è salvare il PDF nella cartella della pratica (un'operazione filesystem indipendente da WinCar e completamente reversibile).</w:t>
      </w:r>
    </w:p>
    <w:p>
      <w:pPr>
        <w:pStyle w:val="Heading1"/>
      </w:pPr>
      <w:r>
        <w:t xml:space="preserve">2. Workflow attuale</w:t>
      </w:r>
    </w:p>
    <w:p>
      <w:r>
        <w:t xml:space="preserve">Il processo oggi è il seguente:</w:t>
      </w:r>
    </w:p>
    <w:p>
      <w:pPr>
        <w:pStyle w:val="ListParagraph"/>
        <w:numPr>
          <w:ilvl w:val="0"/>
          <w:numId w:val="2"/>
        </w:numPr>
      </w:pPr>
      <w:r>
        <w:t xml:space="preserve">Il cliente arriva in carrozzeria dopo un sinistro.</w:t>
      </w:r>
    </w:p>
    <w:p>
      <w:pPr>
        <w:pStyle w:val="ListParagraph"/>
        <w:numPr>
          <w:ilvl w:val="0"/>
          <w:numId w:val="2"/>
        </w:numPr>
      </w:pPr>
      <w:r>
        <w:t xml:space="preserve">Il consulente inserisce i dati anagrafici, del veicolo, del sinistro e della controparte in WinCar, generando una "pratica" identificata da un numero progressivo.</w:t>
      </w:r>
    </w:p>
    <w:p>
      <w:pPr>
        <w:pStyle w:val="ListParagraph"/>
        <w:numPr>
          <w:ilvl w:val="0"/>
          <w:numId w:val="2"/>
        </w:numPr>
      </w:pPr>
      <w:r>
        <w:t xml:space="preserve">Il consulente stampa il modulo "Cessione di credito" in bianco e lo porge al cliente.</w:t>
      </w:r>
    </w:p>
    <w:p>
      <w:pPr>
        <w:pStyle w:val="ListParagraph"/>
        <w:numPr>
          <w:ilvl w:val="0"/>
          <w:numId w:val="2"/>
        </w:numPr>
      </w:pPr>
      <w:r>
        <w:t xml:space="preserve">Il cliente compila a mano gli stessi dati che il consulente ha appena digitato in WinCar.</w:t>
      </w:r>
    </w:p>
    <w:p>
      <w:pPr>
        <w:pStyle w:val="ListParagraph"/>
        <w:numPr>
          <w:ilvl w:val="0"/>
          <w:numId w:val="2"/>
        </w:numPr>
      </w:pPr>
      <w:r>
        <w:t xml:space="preserve">Il cliente firma. Il consulente archivia il foglio cartaceo o lo scansiona e lo carica manualmente come allegato della pratica in WinCar.</w:t>
      </w:r>
    </w:p>
    <w:p>
      <w:r>
        <w:t xml:space="preserve">I problemi: tempo perso, errori di trascrizione del cliente (cifre della targa, codice fiscale), illeggibilità della scrittura a mano, archiviazione disordinata.</w:t>
      </w:r>
    </w:p>
    <w:p>
      <w:pPr>
        <w:pStyle w:val="Heading1"/>
      </w:pPr>
      <w:r>
        <w:t xml:space="preserve">3. Obiettivo dell'app</w:t>
      </w:r>
    </w:p>
    <w:p>
      <w:r>
        <w:t xml:space="preserve">L'app deve sostituire la compilazione manuale del modulo conservando il valore legale del documento. Il flusso target è:</w:t>
      </w:r>
    </w:p>
    <w:p>
      <w:pPr>
        <w:pStyle w:val="ListParagraph"/>
        <w:numPr>
          <w:ilvl w:val="0"/>
          <w:numId w:val="2"/>
        </w:numPr>
      </w:pPr>
      <w:r>
        <w:t xml:space="preserve">Il consulente apre l'app dal PC o dal tablet aziendale.</w:t>
      </w:r>
    </w:p>
    <w:p>
      <w:pPr>
        <w:pStyle w:val="ListParagraph"/>
        <w:numPr>
          <w:ilvl w:val="0"/>
          <w:numId w:val="2"/>
        </w:numPr>
      </w:pPr>
      <w:r>
        <w:t xml:space="preserve">Cerca la pratica appena creata in WinCar (per cognome, targa o numero pratica).</w:t>
      </w:r>
    </w:p>
    <w:p>
      <w:pPr>
        <w:pStyle w:val="ListParagraph"/>
        <w:numPr>
          <w:ilvl w:val="0"/>
          <w:numId w:val="2"/>
        </w:numPr>
      </w:pPr>
      <w:r>
        <w:t xml:space="preserve">L'app mostra il modulo precompilato con tutti i dati estratti da WinCar e derivati dal codice fiscale.</w:t>
      </w:r>
    </w:p>
    <w:p>
      <w:pPr>
        <w:pStyle w:val="ListParagraph"/>
        <w:numPr>
          <w:ilvl w:val="0"/>
          <w:numId w:val="2"/>
        </w:numPr>
      </w:pPr>
      <w:r>
        <w:t xml:space="preserve">Eventuali campi mancanti o da correggere (es. dinamica del sinistro) vengono editati direttamente in pagina.</w:t>
      </w:r>
    </w:p>
    <w:p>
      <w:pPr>
        <w:pStyle w:val="ListParagraph"/>
        <w:numPr>
          <w:ilvl w:val="0"/>
          <w:numId w:val="2"/>
        </w:numPr>
      </w:pPr>
      <w:r>
        <w:t xml:space="preserve">Click su "Genera": l'app produce il file .docx già compilato, lo converte in PDF e lo invia alla stampante.</w:t>
      </w:r>
    </w:p>
    <w:p>
      <w:pPr>
        <w:pStyle w:val="ListParagraph"/>
        <w:numPr>
          <w:ilvl w:val="0"/>
          <w:numId w:val="2"/>
        </w:numPr>
      </w:pPr>
      <w:r>
        <w:t xml:space="preserve">Il cliente firma a penna l'originale stampato.</w:t>
      </w:r>
    </w:p>
    <w:p>
      <w:pPr>
        <w:pStyle w:val="ListParagraph"/>
        <w:numPr>
          <w:ilvl w:val="0"/>
          <w:numId w:val="2"/>
        </w:numPr>
      </w:pPr>
      <w:r>
        <w:t xml:space="preserve">Il consulente scansiona il foglio firmato e lo carica nell'app con un click; l'app lo salva automaticamente nella cartella della pratica WinCar (C:\WinCar\Archivio\Pratiche\&lt;num&gt;\Privati\), dove WinCar lo riconosce come allegato.</w:t>
      </w:r>
    </w:p>
    <w:p>
      <w:r>
        <w:t xml:space="preserve">Esplicitamente fuori scope: firma digitale, sostituzione del cartaceo, modifica del DB di WinCar.</w:t>
      </w:r>
    </w:p>
    <w:p>
      <w:pPr>
        <w:pStyle w:val="Heading1"/>
      </w:pPr>
      <w:r>
        <w:t xml:space="preserve">4. Analisi del database WinCar</w:t>
      </w:r>
    </w:p>
    <w:p>
      <w:pPr>
        <w:pStyle w:val="Heading2"/>
      </w:pPr>
      <w:r>
        <w:t xml:space="preserve">4.1 Struttura tecnica</w:t>
      </w:r>
    </w:p>
    <w:p>
      <w:r>
        <w:t xml:space="preserve">Il gestionale memorizza i dati nella cartella C:\WinCar\Archivio\. Sono presenti circa trenta file .mdb (Microsoft Access Jet 4, formato 1997-2003), uno per dominio funzionale (anagrafiche, pratiche, fatture, allegati, posta, ecc.). Per ciascuno c'è anche un file .ldb di lock, che Access usa per coordinare le scritture concorrenti.</w:t>
      </w:r>
    </w:p>
    <w:p>
      <w:r>
        <w:t xml:space="preserve">La lettura è banale: il driver "Microsoft Access Database Engine" (gratuito) si interfaccia via ODBC e Python lo legge con pyodbc. La connessione viene aperta esplicitamente come ReadOnly=1 per garantire che nessuna query dell'app possa modificare il DB.</w:t>
      </w:r>
    </w:p>
    <w:p>
      <w:r>
        <w:t xml:space="preserve">Esistono inoltre sottocartelle per pratica, cliente, fattura, posta. La cartella C:\WinCar\Archivio\Pratiche\&lt;numero&gt;\Privati\ è destinata agli allegati riservati della pratica: è lì che salveremo la scansione del modulo firmato.</w:t>
      </w:r>
    </w:p>
    <w:p>
      <w:pPr>
        <w:pStyle w:val="Heading2"/>
      </w:pPr>
      <w:r>
        <w:t xml:space="preserve">4.2 La tabella CARVEI</w:t>
      </w:r>
    </w:p>
    <w:p>
      <w:r>
        <w:t xml:space="preserve">Il cuore del DB per il nostro scopo è la tabella CARVEI in wcArchivi.mdb, dove "CARVEI" sta presumibilmente per "Carrozzeria-Veicolo". Una riga rappresenta una pratica completa, con dati cliente, veicolo, sinistro e controparte denormalizzati nella stessa tabella. La chiave primaria è F_NUMPRA, un intero progressivo che coincide con il nome della sottocartella su disco.</w:t>
      </w:r>
    </w:p>
    <w:p>
      <w:r>
        <w:t xml:space="preserve">Al momento dell'analisi la tabella contiene 765 righe (pratiche) e 762 cartelle Pratiche corrispondenti su disco: corrispondenza praticamente uno-a-uno (la lieve differenza è probabilmente dovuta a pratiche cancellate). Numerosità coerenti con un'attività pluriennale.</w:t>
      </w:r>
    </w:p>
    <w:p>
      <w:pPr>
        <w:pStyle w:val="Heading1"/>
      </w:pPr>
      <w:r>
        <w:t xml:space="preserve">5. Mappatura dei campi del modulo</w:t>
      </w:r>
    </w:p>
    <w:p>
      <w:r>
        <w:t xml:space="preserve">Tutti i campi a testo variabile del modulo "Cessione di credito" sono coperti come segue. Le righe in cui la colonna "Origine" è "calcolato" sono ricavate algoritmicamente, senza un campo dedicato nel DB.</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2900"/>
        <w:gridCol w:w="2120"/>
      </w:tblGrid>
      <w:tr>
        <w:trPr>
          <w:tblHeader/>
        </w:trPr>
        <w:tc>
          <w:tcPr>
            <w:tcW w:type="dxa" w:w="3200"/>
            <w:tcBorders>
              <w:top w:val="single" w:color="B8C5D0" w:sz="4"/>
              <w:left w:val="single" w:color="B8C5D0" w:sz="4"/>
              <w:bottom w:val="single" w:color="B8C5D0" w:sz="4"/>
              <w:right w:val="single" w:color="B8C5D0" w:sz="4"/>
            </w:tcBorders>
            <w:shd w:fill="1F3A5F" w:val="clear"/>
            <w:tcMar>
              <w:top w:type="dxa" w:w="100"/>
              <w:left w:type="dxa" w:w="140"/>
              <w:bottom w:type="dxa" w:w="100"/>
              <w:right w:type="dxa" w:w="140"/>
            </w:tcMar>
          </w:tcPr>
          <w:p>
            <w:r>
              <w:rPr>
                <w:b/>
                <w:bCs/>
                <w:color w:val="FFFFFF"/>
                <w:sz w:val="20"/>
                <w:szCs w:val="20"/>
              </w:rPr>
              <w:t xml:space="preserve">Campo nel modulo</w:t>
            </w:r>
          </w:p>
        </w:tc>
        <w:tc>
          <w:tcPr>
            <w:tcW w:type="dxa" w:w="1500"/>
            <w:tcBorders>
              <w:top w:val="single" w:color="B8C5D0" w:sz="4"/>
              <w:left w:val="single" w:color="B8C5D0" w:sz="4"/>
              <w:bottom w:val="single" w:color="B8C5D0" w:sz="4"/>
              <w:right w:val="single" w:color="B8C5D0" w:sz="4"/>
            </w:tcBorders>
            <w:shd w:fill="1F3A5F" w:val="clear"/>
            <w:tcMar>
              <w:top w:type="dxa" w:w="100"/>
              <w:left w:type="dxa" w:w="140"/>
              <w:bottom w:type="dxa" w:w="100"/>
              <w:right w:type="dxa" w:w="140"/>
            </w:tcMar>
          </w:tcPr>
          <w:p>
            <w:r>
              <w:rPr>
                <w:b/>
                <w:bCs/>
                <w:color w:val="FFFFFF"/>
                <w:sz w:val="20"/>
                <w:szCs w:val="20"/>
              </w:rPr>
              <w:t xml:space="preserve">Origine</w:t>
            </w:r>
          </w:p>
        </w:tc>
        <w:tc>
          <w:tcPr>
            <w:tcW w:type="dxa" w:w="2900"/>
            <w:tcBorders>
              <w:top w:val="single" w:color="B8C5D0" w:sz="4"/>
              <w:left w:val="single" w:color="B8C5D0" w:sz="4"/>
              <w:bottom w:val="single" w:color="B8C5D0" w:sz="4"/>
              <w:right w:val="single" w:color="B8C5D0" w:sz="4"/>
            </w:tcBorders>
            <w:shd w:fill="1F3A5F" w:val="clear"/>
            <w:tcMar>
              <w:top w:type="dxa" w:w="100"/>
              <w:left w:type="dxa" w:w="140"/>
              <w:bottom w:type="dxa" w:w="100"/>
              <w:right w:type="dxa" w:w="140"/>
            </w:tcMar>
          </w:tcPr>
          <w:p>
            <w:r>
              <w:rPr>
                <w:b/>
                <w:bCs/>
                <w:color w:val="FFFFFF"/>
                <w:sz w:val="20"/>
                <w:szCs w:val="20"/>
              </w:rPr>
              <w:t xml:space="preserve">Colonna DB / formula</w:t>
            </w:r>
          </w:p>
        </w:tc>
        <w:tc>
          <w:tcPr>
            <w:tcW w:type="dxa" w:w="2120"/>
            <w:tcBorders>
              <w:top w:val="single" w:color="B8C5D0" w:sz="4"/>
              <w:left w:val="single" w:color="B8C5D0" w:sz="4"/>
              <w:bottom w:val="single" w:color="B8C5D0" w:sz="4"/>
              <w:right w:val="single" w:color="B8C5D0" w:sz="4"/>
            </w:tcBorders>
            <w:shd w:fill="1F3A5F" w:val="clear"/>
            <w:tcMar>
              <w:top w:type="dxa" w:w="100"/>
              <w:left w:type="dxa" w:w="140"/>
              <w:bottom w:type="dxa" w:w="100"/>
              <w:right w:type="dxa" w:w="140"/>
            </w:tcMar>
          </w:tcPr>
          <w:p>
            <w:r>
              <w:rPr>
                <w:b/>
                <w:bCs/>
                <w:color w:val="FFFFFF"/>
                <w:sz w:val="20"/>
                <w:szCs w:val="20"/>
              </w:rPr>
              <w:t xml:space="preserve">Note</w:t>
            </w:r>
          </w:p>
        </w:tc>
      </w:tr>
      <w:tr>
        <w:tc>
          <w:tcPr>
            <w:tcW w:type="dxa" w:w="32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Cognome e nome del cedente</w:t>
            </w:r>
          </w:p>
        </w:tc>
        <w:tc>
          <w:tcPr>
            <w:tcW w:type="dxa" w:w="15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F_RAGSOC</w:t>
            </w:r>
          </w:p>
        </w:tc>
        <w:tc>
          <w:tcPr>
            <w:tcW w:type="dxa" w:w="212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Stringa unica: in caso di privato è "Cognome Nome"; in caso di ditta è la ragione sociale.</w:t>
            </w:r>
          </w:p>
        </w:tc>
      </w:tr>
      <w:tr>
        <w:tc>
          <w:tcPr>
            <w:tcW w:type="dxa" w:w="32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Data di nascita</w:t>
            </w:r>
          </w:p>
        </w:tc>
        <w:tc>
          <w:tcPr>
            <w:tcW w:type="dxa" w:w="15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calcolato</w:t>
            </w:r>
          </w:p>
        </w:tc>
        <w:tc>
          <w:tcPr>
            <w:tcW w:type="dxa" w:w="29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parse(F_CODFIS, pos. 7-9)</w:t>
            </w:r>
          </w:p>
        </w:tc>
        <w:tc>
          <w:tcPr>
            <w:tcW w:type="dxa" w:w="212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Posizioni 7-8 = anno (2 cifre); 9 = mese codificato (A-T); 10-11 = giorno (+40 se donna).</w:t>
            </w:r>
          </w:p>
        </w:tc>
      </w:tr>
      <w:tr>
        <w:tc>
          <w:tcPr>
            <w:tcW w:type="dxa" w:w="32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Luogo di nascita</w:t>
            </w:r>
          </w:p>
        </w:tc>
        <w:tc>
          <w:tcPr>
            <w:tcW w:type="dxa" w:w="15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calcolato</w:t>
            </w:r>
          </w:p>
        </w:tc>
        <w:tc>
          <w:tcPr>
            <w:tcW w:type="dxa" w:w="29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lookup catastale(F_CODFIS, pos. 12-15)</w:t>
            </w:r>
          </w:p>
        </w:tc>
        <w:tc>
          <w:tcPr>
            <w:tcW w:type="dxa" w:w="212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Codice di 4 caratteri (es. H501 = Roma). Tabella ufficiale Agenzia delle Entrate (~8.000 voci).</w:t>
            </w:r>
          </w:p>
        </w:tc>
      </w:tr>
      <w:tr>
        <w:tc>
          <w:tcPr>
            <w:tcW w:type="dxa" w:w="32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Residenza – Via</w:t>
            </w:r>
          </w:p>
        </w:tc>
        <w:tc>
          <w:tcPr>
            <w:tcW w:type="dxa" w:w="15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F_VIACLI</w:t>
            </w:r>
          </w:p>
        </w:tc>
        <w:tc>
          <w:tcPr>
            <w:tcW w:type="dxa" w:w="212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w:t>
            </w:r>
          </w:p>
        </w:tc>
      </w:tr>
      <w:tr>
        <w:tc>
          <w:tcPr>
            <w:tcW w:type="dxa" w:w="32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Residenza – Comune</w:t>
            </w:r>
          </w:p>
        </w:tc>
        <w:tc>
          <w:tcPr>
            <w:tcW w:type="dxa" w:w="15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F_CITTAC + F_PROCLI</w:t>
            </w:r>
          </w:p>
        </w:tc>
        <w:tc>
          <w:tcPr>
            <w:tcW w:type="dxa" w:w="212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Concateniamo provincia tra parentesi.</w:t>
            </w:r>
          </w:p>
        </w:tc>
      </w:tr>
      <w:tr>
        <w:tc>
          <w:tcPr>
            <w:tcW w:type="dxa" w:w="32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Residenza – CAP</w:t>
            </w:r>
          </w:p>
        </w:tc>
        <w:tc>
          <w:tcPr>
            <w:tcW w:type="dxa" w:w="15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F_CAPCLI</w:t>
            </w:r>
          </w:p>
        </w:tc>
        <w:tc>
          <w:tcPr>
            <w:tcW w:type="dxa" w:w="212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w:t>
            </w:r>
          </w:p>
        </w:tc>
      </w:tr>
      <w:tr>
        <w:tc>
          <w:tcPr>
            <w:tcW w:type="dxa" w:w="32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Codice fiscale</w:t>
            </w:r>
          </w:p>
        </w:tc>
        <w:tc>
          <w:tcPr>
            <w:tcW w:type="dxa" w:w="15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F_CODFIS</w:t>
            </w:r>
          </w:p>
        </w:tc>
        <w:tc>
          <w:tcPr>
            <w:tcW w:type="dxa" w:w="212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Campo critico: tutti i campi anagrafici dipendono da qui se mancano.</w:t>
            </w:r>
          </w:p>
        </w:tc>
      </w:tr>
      <w:tr>
        <w:tc>
          <w:tcPr>
            <w:tcW w:type="dxa" w:w="32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Ditta (se applicabile)</w:t>
            </w:r>
          </w:p>
        </w:tc>
        <w:tc>
          <w:tcPr>
            <w:tcW w:type="dxa" w:w="15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F_RAGSOC + F_PARIVA</w:t>
            </w:r>
          </w:p>
        </w:tc>
        <w:tc>
          <w:tcPr>
            <w:tcW w:type="dxa" w:w="212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Se F_PARIVA è valorizzata trattiamo come ditta.</w:t>
            </w:r>
          </w:p>
        </w:tc>
      </w:tr>
      <w:tr>
        <w:tc>
          <w:tcPr>
            <w:tcW w:type="dxa" w:w="32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Partita IVA</w:t>
            </w:r>
          </w:p>
        </w:tc>
        <w:tc>
          <w:tcPr>
            <w:tcW w:type="dxa" w:w="15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F_PARIVA</w:t>
            </w:r>
          </w:p>
        </w:tc>
        <w:tc>
          <w:tcPr>
            <w:tcW w:type="dxa" w:w="212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w:t>
            </w:r>
          </w:p>
        </w:tc>
      </w:tr>
      <w:tr>
        <w:tc>
          <w:tcPr>
            <w:tcW w:type="dxa" w:w="32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Data sinistro</w:t>
            </w:r>
          </w:p>
        </w:tc>
        <w:tc>
          <w:tcPr>
            <w:tcW w:type="dxa" w:w="15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F_DATASI</w:t>
            </w:r>
          </w:p>
        </w:tc>
        <w:tc>
          <w:tcPr>
            <w:tcW w:type="dxa" w:w="212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w:t>
            </w:r>
          </w:p>
        </w:tc>
      </w:tr>
      <w:tr>
        <w:tc>
          <w:tcPr>
            <w:tcW w:type="dxa" w:w="32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Ora sinistro</w:t>
            </w:r>
          </w:p>
        </w:tc>
        <w:tc>
          <w:tcPr>
            <w:tcW w:type="dxa" w:w="15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F_ORASIN</w:t>
            </w:r>
          </w:p>
        </w:tc>
        <w:tc>
          <w:tcPr>
            <w:tcW w:type="dxa" w:w="212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Stringa HH:MM.</w:t>
            </w:r>
          </w:p>
        </w:tc>
      </w:tr>
      <w:tr>
        <w:tc>
          <w:tcPr>
            <w:tcW w:type="dxa" w:w="32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Comune sinistro</w:t>
            </w:r>
          </w:p>
        </w:tc>
        <w:tc>
          <w:tcPr>
            <w:tcW w:type="dxa" w:w="15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F_LOCSIN</w:t>
            </w:r>
          </w:p>
        </w:tc>
        <w:tc>
          <w:tcPr>
            <w:tcW w:type="dxa" w:w="212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w:t>
            </w:r>
          </w:p>
        </w:tc>
      </w:tr>
      <w:tr>
        <w:tc>
          <w:tcPr>
            <w:tcW w:type="dxa" w:w="32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Via sinistro</w:t>
            </w:r>
          </w:p>
        </w:tc>
        <w:tc>
          <w:tcPr>
            <w:tcW w:type="dxa" w:w="15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F_VIASIN</w:t>
            </w:r>
          </w:p>
        </w:tc>
        <w:tc>
          <w:tcPr>
            <w:tcW w:type="dxa" w:w="212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w:t>
            </w:r>
          </w:p>
        </w:tc>
      </w:tr>
      <w:tr>
        <w:tc>
          <w:tcPr>
            <w:tcW w:type="dxa" w:w="32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Veicolo cedente – marca/modello</w:t>
            </w:r>
          </w:p>
        </w:tc>
        <w:tc>
          <w:tcPr>
            <w:tcW w:type="dxa" w:w="15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F_DESMAR + " " + F_DESMOD</w:t>
            </w:r>
          </w:p>
        </w:tc>
        <w:tc>
          <w:tcPr>
            <w:tcW w:type="dxa" w:w="212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w:t>
            </w:r>
          </w:p>
        </w:tc>
      </w:tr>
      <w:tr>
        <w:tc>
          <w:tcPr>
            <w:tcW w:type="dxa" w:w="32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Veicolo cedente – targa</w:t>
            </w:r>
          </w:p>
        </w:tc>
        <w:tc>
          <w:tcPr>
            <w:tcW w:type="dxa" w:w="15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F_TARGAV</w:t>
            </w:r>
          </w:p>
        </w:tc>
        <w:tc>
          <w:tcPr>
            <w:tcW w:type="dxa" w:w="212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w:t>
            </w:r>
          </w:p>
        </w:tc>
      </w:tr>
      <w:tr>
        <w:tc>
          <w:tcPr>
            <w:tcW w:type="dxa" w:w="32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Veicolo controparte – marca/modello</w:t>
            </w:r>
          </w:p>
        </w:tc>
        <w:tc>
          <w:tcPr>
            <w:tcW w:type="dxa" w:w="15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F_MACCON</w:t>
            </w:r>
          </w:p>
        </w:tc>
        <w:tc>
          <w:tcPr>
            <w:tcW w:type="dxa" w:w="212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Già stringa unica nel DB.</w:t>
            </w:r>
          </w:p>
        </w:tc>
      </w:tr>
      <w:tr>
        <w:tc>
          <w:tcPr>
            <w:tcW w:type="dxa" w:w="32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Veicolo controparte – targa</w:t>
            </w:r>
          </w:p>
        </w:tc>
        <w:tc>
          <w:tcPr>
            <w:tcW w:type="dxa" w:w="15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F_TARCON</w:t>
            </w:r>
          </w:p>
        </w:tc>
        <w:tc>
          <w:tcPr>
            <w:tcW w:type="dxa" w:w="212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w:t>
            </w:r>
          </w:p>
        </w:tc>
      </w:tr>
      <w:tr>
        <w:tc>
          <w:tcPr>
            <w:tcW w:type="dxa" w:w="32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Proprietario / ditta controparte</w:t>
            </w:r>
          </w:p>
        </w:tc>
        <w:tc>
          <w:tcPr>
            <w:tcW w:type="dxa" w:w="15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F_NOMECO</w:t>
            </w:r>
          </w:p>
        </w:tc>
        <w:tc>
          <w:tcPr>
            <w:tcW w:type="dxa" w:w="212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w:t>
            </w:r>
          </w:p>
        </w:tc>
      </w:tr>
      <w:tr>
        <w:tc>
          <w:tcPr>
            <w:tcW w:type="dxa" w:w="32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Conducente controparte</w:t>
            </w:r>
          </w:p>
        </w:tc>
        <w:tc>
          <w:tcPr>
            <w:tcW w:type="dxa" w:w="15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F_CONDUC</w:t>
            </w:r>
          </w:p>
        </w:tc>
        <w:tc>
          <w:tcPr>
            <w:tcW w:type="dxa" w:w="212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w:t>
            </w:r>
          </w:p>
        </w:tc>
      </w:tr>
      <w:tr>
        <w:tc>
          <w:tcPr>
            <w:tcW w:type="dxa" w:w="32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Compagnia assicurativa controparte</w:t>
            </w:r>
          </w:p>
        </w:tc>
        <w:tc>
          <w:tcPr>
            <w:tcW w:type="dxa" w:w="15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F_DEASCO</w:t>
            </w:r>
          </w:p>
        </w:tc>
        <w:tc>
          <w:tcPr>
            <w:tcW w:type="dxa" w:w="212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w:t>
            </w:r>
          </w:p>
        </w:tc>
      </w:tr>
      <w:tr>
        <w:tc>
          <w:tcPr>
            <w:tcW w:type="dxa" w:w="32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Numero polizza controparte</w:t>
            </w:r>
          </w:p>
        </w:tc>
        <w:tc>
          <w:tcPr>
            <w:tcW w:type="dxa" w:w="15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F_NUMPO2</w:t>
            </w:r>
          </w:p>
        </w:tc>
        <w:tc>
          <w:tcPr>
            <w:tcW w:type="dxa" w:w="212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w:t>
            </w:r>
          </w:p>
        </w:tc>
      </w:tr>
      <w:tr>
        <w:tc>
          <w:tcPr>
            <w:tcW w:type="dxa" w:w="32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Dinamica del sinistro</w:t>
            </w:r>
          </w:p>
        </w:tc>
        <w:tc>
          <w:tcPr>
            <w:tcW w:type="dxa" w:w="15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CARVEI</w:t>
            </w:r>
          </w:p>
        </w:tc>
        <w:tc>
          <w:tcPr>
            <w:tcW w:type="dxa" w:w="29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F_MODSIN</w:t>
            </w:r>
          </w:p>
        </w:tc>
        <w:tc>
          <w:tcPr>
            <w:tcW w:type="dxa" w:w="212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Memo lungo (fino a 1 GB), accolto integralmente.</w:t>
            </w:r>
          </w:p>
        </w:tc>
      </w:tr>
      <w:tr>
        <w:tc>
          <w:tcPr>
            <w:tcW w:type="dxa" w:w="32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Carrozzeria cessionaria</w:t>
            </w:r>
          </w:p>
        </w:tc>
        <w:tc>
          <w:tcPr>
            <w:tcW w:type="dxa" w:w="15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fisso</w:t>
            </w:r>
          </w:p>
        </w:tc>
        <w:tc>
          <w:tcPr>
            <w:tcW w:type="dxa" w:w="29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"Carrozzeria LYS Auto srl"</w:t>
            </w:r>
          </w:p>
        </w:tc>
        <w:tc>
          <w:tcPr>
            <w:tcW w:type="dxa" w:w="212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Già nel testo del modulo.</w:t>
            </w:r>
          </w:p>
        </w:tc>
      </w:tr>
      <w:tr>
        <w:tc>
          <w:tcPr>
            <w:tcW w:type="dxa" w:w="32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Luogo del modulo</w:t>
            </w:r>
          </w:p>
        </w:tc>
        <w:tc>
          <w:tcPr>
            <w:tcW w:type="dxa" w:w="15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fisso</w:t>
            </w:r>
          </w:p>
        </w:tc>
        <w:tc>
          <w:tcPr>
            <w:tcW w:type="dxa" w:w="29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"Roma"</w:t>
            </w:r>
          </w:p>
        </w:tc>
        <w:tc>
          <w:tcPr>
            <w:tcW w:type="dxa" w:w="212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Già nel testo del modulo.</w:t>
            </w:r>
          </w:p>
        </w:tc>
      </w:tr>
    </w:tbl>
    <w:p>
      <w:pPr>
        <w:pStyle w:val="Heading1"/>
      </w:pPr>
      <w:r>
        <w:t xml:space="preserve">6. Architettura proposta</w:t>
      </w:r>
    </w:p>
    <w:p>
      <w:pPr>
        <w:pStyle w:val="Heading2"/>
      </w:pPr>
      <w:r>
        <w:t xml:space="preserve">6.1 Stack tecnologico</w:t>
      </w:r>
    </w:p>
    <w:p>
      <w:r>
        <w:t xml:space="preserve">La scelta privilegia tecnologie standard, semplici da installare e mantenibili da chiunque conosca Python:</w:t>
      </w:r>
    </w:p>
    <w:p>
      <w:pPr>
        <w:pStyle w:val="ListParagraph"/>
        <w:numPr>
          <w:ilvl w:val="0"/>
          <w:numId w:val="2"/>
        </w:numPr>
      </w:pPr>
      <w:r>
        <w:t xml:space="preserve">Python 3.11+ come linguaggio.</w:t>
      </w:r>
    </w:p>
    <w:p>
      <w:pPr>
        <w:pStyle w:val="ListParagraph"/>
        <w:numPr>
          <w:ilvl w:val="0"/>
          <w:numId w:val="2"/>
        </w:numPr>
      </w:pPr>
      <w:r>
        <w:t xml:space="preserve">FastAPI come framework web (leggero, moderno, con OpenAPI integrato).</w:t>
      </w:r>
    </w:p>
    <w:p>
      <w:pPr>
        <w:pStyle w:val="ListParagraph"/>
        <w:numPr>
          <w:ilvl w:val="0"/>
          <w:numId w:val="2"/>
        </w:numPr>
      </w:pPr>
      <w:r>
        <w:t xml:space="preserve">Jinja2 per i template HTML (no framework JS pesante).</w:t>
      </w:r>
    </w:p>
    <w:p>
      <w:pPr>
        <w:pStyle w:val="ListParagraph"/>
        <w:numPr>
          <w:ilvl w:val="0"/>
          <w:numId w:val="2"/>
        </w:numPr>
      </w:pPr>
      <w:r>
        <w:t xml:space="preserve">pyodbc + driver Microsoft Access per leggere i .mdb in sola lettura.</w:t>
      </w:r>
    </w:p>
    <w:p>
      <w:pPr>
        <w:pStyle w:val="ListParagraph"/>
        <w:numPr>
          <w:ilvl w:val="0"/>
          <w:numId w:val="2"/>
        </w:numPr>
      </w:pPr>
      <w:r>
        <w:t xml:space="preserve">python-docx per compilare il template del modulo.</w:t>
      </w:r>
    </w:p>
    <w:p>
      <w:pPr>
        <w:pStyle w:val="ListParagraph"/>
        <w:numPr>
          <w:ilvl w:val="0"/>
          <w:numId w:val="2"/>
        </w:numPr>
      </w:pPr>
      <w:r>
        <w:t xml:space="preserve">LibreOffice in modalità headless (o docx2pdf) per convertire .docx → .pdf.</w:t>
      </w:r>
    </w:p>
    <w:p>
      <w:pPr>
        <w:pStyle w:val="ListParagraph"/>
        <w:numPr>
          <w:ilvl w:val="0"/>
          <w:numId w:val="2"/>
        </w:numPr>
      </w:pPr>
      <w:r>
        <w:t xml:space="preserve">codicefiscale-python (o equivalente) per parsare il CF.</w:t>
      </w:r>
    </w:p>
    <w:p>
      <w:pPr>
        <w:pStyle w:val="ListParagraph"/>
        <w:numPr>
          <w:ilvl w:val="0"/>
          <w:numId w:val="2"/>
        </w:numPr>
      </w:pPr>
      <w:r>
        <w:t xml:space="preserve">Uvicorn come web server (incluso in FastAPI).</w:t>
      </w:r>
    </w:p>
    <w:p>
      <w:pPr>
        <w:pStyle w:val="ListParagraph"/>
        <w:numPr>
          <w:ilvl w:val="0"/>
          <w:numId w:val="2"/>
        </w:numPr>
      </w:pPr>
      <w:r>
        <w:t xml:space="preserve">NSSM per registrare l'app come servizio Windows ad avvio automatico.</w:t>
      </w:r>
    </w:p>
    <w:p>
      <w:pPr>
        <w:pStyle w:val="Heading2"/>
      </w:pPr>
      <w:r>
        <w:t xml:space="preserve">6.2 Topologia di rete</w:t>
      </w:r>
    </w:p>
    <w:p>
      <w:r>
        <w:t xml:space="preserve">L'app gira sul PC dove è installato WinCar (per accesso diretto ai .mdb). Espone un server HTTP sulla porta 8000, in ascolto solo sulla rete LAN aziendale. Da qualsiasi dispositivo connesso alla stessa rete (PC al banco, tablet del consulente, smartphone aziendale) si raggiunge l'app tramite browser all'indirizzo http://&lt;ip-pc&gt;:8000.</w:t>
      </w:r>
    </w:p>
    <w:p>
      <w:r>
        <w:t xml:space="preserve">Nessuna esposizione su Internet, nessun account cloud, nessuna sincronizzazione esterna: tutta la "rete" rimane dentro il muro della carrozzeria. Per cortesia di sicurezza si bindano solo le interfacce della LAN aziendale, escludendo eventuali reti guest.</w:t>
      </w:r>
    </w:p>
    <w:p>
      <w:pPr>
        <w:pStyle w:val="Heading2"/>
      </w:pPr>
      <w:r>
        <w:t xml:space="preserve">6.3 Modello di accesso al DB</w:t>
      </w:r>
    </w:p>
    <w:p>
      <w:r>
        <w:t xml:space="preserve">Tre regole inderogabili sull'accesso al DB di WinCar:</w:t>
      </w:r>
    </w:p>
    <w:p>
      <w:pPr>
        <w:pStyle w:val="ListParagraph"/>
        <w:numPr>
          <w:ilvl w:val="0"/>
          <w:numId w:val="2"/>
        </w:numPr>
      </w:pPr>
      <w:r>
        <w:t xml:space="preserve">Ogni connessione viene aperta con il flag ReadOnly=1 nella stringa di connessione ODBC. Anche un bug del codice non potrà produrre scritture.</w:t>
      </w:r>
    </w:p>
    <w:p>
      <w:pPr>
        <w:pStyle w:val="ListParagraph"/>
        <w:numPr>
          <w:ilvl w:val="0"/>
          <w:numId w:val="2"/>
        </w:numPr>
      </w:pPr>
      <w:r>
        <w:t xml:space="preserve">Le query usano la modalità share-deny-none, in modo da non bloccare gli utenti di WinCar mentre l'app sta leggendo.</w:t>
      </w:r>
    </w:p>
    <w:p>
      <w:pPr>
        <w:pStyle w:val="ListParagraph"/>
        <w:numPr>
          <w:ilvl w:val="0"/>
          <w:numId w:val="2"/>
        </w:numPr>
      </w:pPr>
      <w:r>
        <w:t xml:space="preserve">Un piccolo modulo "schema check" verifica al boot dell'app che le colonne attese siano ancora presenti in CARVEI: se WinCar viene aggiornato e cambia schema, l'app si rifiuta di partire e logga l'elenco delle differenze, evitando comportamenti inattesi.</w:t>
      </w:r>
    </w:p>
    <w:p>
      <w:pPr>
        <w:pStyle w:val="Heading2"/>
      </w:pPr>
      <w:r>
        <w:t xml:space="preserve">6.4 Salvataggio del PDF firmato</w:t>
      </w:r>
    </w:p>
    <w:p>
      <w:r>
        <w:t xml:space="preserve">Quando l'operatore carica la scansione, l'app salva il PDF in C:\WinCar\Archivio\Pratiche\&lt;NUMPRA&gt;\Privati\Cessione_credito_&lt;YYYYMMDD&gt;.pdf. Questa cartella è già usata da WinCar per gli allegati riservati di pratica, quindi il documento risulta visibile in WinCar senza alcuna modifica al DB.</w:t>
      </w:r>
    </w:p>
    <w:p>
      <w:r>
        <w:t xml:space="preserve">Per ridondanza, lo stesso file viene anche copiato in una cartella di archivio dedicata gestita dall'app, ad esempio C:\LYSApp\Cessioni_firmate\&lt;anno&gt;\, così la carrozzeria ha un'unica vista cronologica di tutte le cessioni indipendente da WinCar.</w:t>
      </w:r>
    </w:p>
    <w:p>
      <w:pPr>
        <w:pStyle w:val="Heading1"/>
      </w:pPr>
      <w:r>
        <w:t xml:space="preserve">7. Flusso utente passo-passo</w:t>
      </w:r>
    </w:p>
    <w:p>
      <w:r>
        <w:t xml:space="preserve">Una sessione tipo dura meno di un minuto: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80"/>
        <w:gridCol w:w="4480"/>
      </w:tblGrid>
      <w:tr>
        <w:trPr>
          <w:tblHeader/>
        </w:trPr>
        <w:tc>
          <w:tcPr>
            <w:tcW w:type="dxa" w:w="600"/>
            <w:tcBorders>
              <w:top w:val="single" w:color="B8C5D0" w:sz="4"/>
              <w:left w:val="single" w:color="B8C5D0" w:sz="4"/>
              <w:bottom w:val="single" w:color="B8C5D0" w:sz="4"/>
              <w:right w:val="single" w:color="B8C5D0" w:sz="4"/>
            </w:tcBorders>
            <w:shd w:fill="1F3A5F" w:val="clear"/>
            <w:tcMar>
              <w:top w:type="dxa" w:w="100"/>
              <w:left w:type="dxa" w:w="140"/>
              <w:bottom w:type="dxa" w:w="100"/>
              <w:right w:type="dxa" w:w="140"/>
            </w:tcMar>
          </w:tcPr>
          <w:p>
            <w:r>
              <w:rPr>
                <w:b/>
                <w:bCs/>
                <w:color w:val="FFFFFF"/>
                <w:sz w:val="20"/>
                <w:szCs w:val="20"/>
              </w:rPr>
              <w:t xml:space="preserve">Passo</w:t>
            </w:r>
          </w:p>
        </w:tc>
        <w:tc>
          <w:tcPr>
            <w:tcW w:type="dxa" w:w="4280"/>
            <w:tcBorders>
              <w:top w:val="single" w:color="B8C5D0" w:sz="4"/>
              <w:left w:val="single" w:color="B8C5D0" w:sz="4"/>
              <w:bottom w:val="single" w:color="B8C5D0" w:sz="4"/>
              <w:right w:val="single" w:color="B8C5D0" w:sz="4"/>
            </w:tcBorders>
            <w:shd w:fill="1F3A5F" w:val="clear"/>
            <w:tcMar>
              <w:top w:type="dxa" w:w="100"/>
              <w:left w:type="dxa" w:w="140"/>
              <w:bottom w:type="dxa" w:w="100"/>
              <w:right w:type="dxa" w:w="140"/>
            </w:tcMar>
          </w:tcPr>
          <w:p>
            <w:r>
              <w:rPr>
                <w:b/>
                <w:bCs/>
                <w:color w:val="FFFFFF"/>
                <w:sz w:val="20"/>
                <w:szCs w:val="20"/>
              </w:rPr>
              <w:t xml:space="preserve">Azione utente</w:t>
            </w:r>
          </w:p>
        </w:tc>
        <w:tc>
          <w:tcPr>
            <w:tcW w:type="dxa" w:w="4480"/>
            <w:tcBorders>
              <w:top w:val="single" w:color="B8C5D0" w:sz="4"/>
              <w:left w:val="single" w:color="B8C5D0" w:sz="4"/>
              <w:bottom w:val="single" w:color="B8C5D0" w:sz="4"/>
              <w:right w:val="single" w:color="B8C5D0" w:sz="4"/>
            </w:tcBorders>
            <w:shd w:fill="1F3A5F" w:val="clear"/>
            <w:tcMar>
              <w:top w:type="dxa" w:w="100"/>
              <w:left w:type="dxa" w:w="140"/>
              <w:bottom w:type="dxa" w:w="100"/>
              <w:right w:type="dxa" w:w="140"/>
            </w:tcMar>
          </w:tcPr>
          <w:p>
            <w:r>
              <w:rPr>
                <w:b/>
                <w:bCs/>
                <w:color w:val="FFFFFF"/>
                <w:sz w:val="20"/>
                <w:szCs w:val="20"/>
              </w:rPr>
              <w:t xml:space="preserve">Azione app</w:t>
            </w:r>
          </w:p>
        </w:tc>
      </w:tr>
      <w:tr>
        <w:tc>
          <w:tcPr>
            <w:tcW w:type="dxa" w:w="6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1</w:t>
            </w:r>
          </w:p>
        </w:tc>
        <w:tc>
          <w:tcPr>
            <w:tcW w:type="dxa" w:w="428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Apre il browser su http://192.168.x.x:8000.</w:t>
            </w:r>
          </w:p>
        </w:tc>
        <w:tc>
          <w:tcPr>
            <w:tcW w:type="dxa" w:w="448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Mostra la lista delle ultime pratiche aperte in WinCar, con un campo di ricerca.</w:t>
            </w:r>
          </w:p>
        </w:tc>
      </w:tr>
      <w:tr>
        <w:tc>
          <w:tcPr>
            <w:tcW w:type="dxa" w:w="6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2</w:t>
            </w:r>
          </w:p>
        </w:tc>
        <w:tc>
          <w:tcPr>
            <w:tcW w:type="dxa" w:w="428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Digita "Rossi" o la targa "AB123CD".</w:t>
            </w:r>
          </w:p>
        </w:tc>
        <w:tc>
          <w:tcPr>
            <w:tcW w:type="dxa" w:w="448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Filtra la lista in tempo reale; quando ce n'è una sola, la apre automaticamente.</w:t>
            </w:r>
          </w:p>
        </w:tc>
      </w:tr>
      <w:tr>
        <w:tc>
          <w:tcPr>
            <w:tcW w:type="dxa" w:w="6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3</w:t>
            </w:r>
          </w:p>
        </w:tc>
        <w:tc>
          <w:tcPr>
            <w:tcW w:type="dxa" w:w="428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Guarda l'anteprima del modulo precompilato.</w:t>
            </w:r>
          </w:p>
        </w:tc>
        <w:tc>
          <w:tcPr>
            <w:tcW w:type="dxa" w:w="448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Carica F_RAGSOC, F_CODFIS, F_VIACLI, ecc. da CARVEI. Estrae data e luogo di nascita dal codice fiscale. Evidenzia in giallo eventuali campi vuoti che richiedono attenzione.</w:t>
            </w:r>
          </w:p>
        </w:tc>
      </w:tr>
      <w:tr>
        <w:tc>
          <w:tcPr>
            <w:tcW w:type="dxa" w:w="6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4</w:t>
            </w:r>
          </w:p>
        </w:tc>
        <w:tc>
          <w:tcPr>
            <w:tcW w:type="dxa" w:w="428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Compila i campi giallo (es. polizza controparte mancante).</w:t>
            </w:r>
          </w:p>
        </w:tc>
        <w:tc>
          <w:tcPr>
            <w:tcW w:type="dxa" w:w="448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Aggiornamento in tempo reale dell'anteprima.</w:t>
            </w:r>
          </w:p>
        </w:tc>
      </w:tr>
      <w:tr>
        <w:tc>
          <w:tcPr>
            <w:tcW w:type="dxa" w:w="6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5</w:t>
            </w:r>
          </w:p>
        </w:tc>
        <w:tc>
          <w:tcPr>
            <w:tcW w:type="dxa" w:w="428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Click su "Stampa".</w:t>
            </w:r>
          </w:p>
        </w:tc>
        <w:tc>
          <w:tcPr>
            <w:tcW w:type="dxa" w:w="448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Genera .docx → PDF → invia alla stampante di sistema; lascia in pagina i pulsanti "Ristampa" e "Carica scansione firmata".</w:t>
            </w:r>
          </w:p>
        </w:tc>
      </w:tr>
      <w:tr>
        <w:tc>
          <w:tcPr>
            <w:tcW w:type="dxa" w:w="6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6</w:t>
            </w:r>
          </w:p>
        </w:tc>
        <w:tc>
          <w:tcPr>
            <w:tcW w:type="dxa" w:w="428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Fa firmare il cliente sul foglio cartaceo.</w:t>
            </w:r>
          </w:p>
        </w:tc>
        <w:tc>
          <w:tcPr>
            <w:tcW w:type="dxa" w:w="448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w:t>
            </w:r>
          </w:p>
        </w:tc>
      </w:tr>
      <w:tr>
        <w:tc>
          <w:tcPr>
            <w:tcW w:type="dxa" w:w="6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7</w:t>
            </w:r>
          </w:p>
        </w:tc>
        <w:tc>
          <w:tcPr>
            <w:tcW w:type="dxa" w:w="428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Scansiona il foglio e clicca "Carica scansione firmata".</w:t>
            </w:r>
          </w:p>
        </w:tc>
        <w:tc>
          <w:tcPr>
            <w:tcW w:type="dxa" w:w="448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Apre la finestra di selezione file; alla conferma copia il PDF in Pratiche\&lt;NUMPRA&gt;\Privati\ e in C:\LYSApp\Cessioni_firmate\&lt;anno&gt;\.</w:t>
            </w:r>
          </w:p>
        </w:tc>
      </w:tr>
      <w:tr>
        <w:tc>
          <w:tcPr>
            <w:tcW w:type="dxa" w:w="6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8</w:t>
            </w:r>
          </w:p>
        </w:tc>
        <w:tc>
          <w:tcPr>
            <w:tcW w:type="dxa" w:w="428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Vede il messaggio "Cessione archiviata per la pratica 766".</w:t>
            </w:r>
          </w:p>
        </w:tc>
        <w:tc>
          <w:tcPr>
            <w:tcW w:type="dxa" w:w="448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Chiude la sessione; ricarica la lista delle pratiche.</w:t>
            </w:r>
          </w:p>
        </w:tc>
      </w:tr>
    </w:tbl>
    <w:p>
      <w:pPr>
        <w:pStyle w:val="Heading1"/>
      </w:pPr>
      <w:r>
        <w:t xml:space="preserve">8. Fasi di sviluppo e stima</w:t>
      </w:r>
    </w:p>
    <w:p>
      <w:r>
        <w:t xml:space="preserve">Stime in giornate-uomo. Una giornata = 6-7 ore di lavoro netto.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rPr>
          <w:tblHeader/>
        </w:trPr>
        <w:tc>
          <w:tcPr>
            <w:tcW w:type="dxa" w:w="800"/>
            <w:tcBorders>
              <w:top w:val="single" w:color="B8C5D0" w:sz="4"/>
              <w:left w:val="single" w:color="B8C5D0" w:sz="4"/>
              <w:bottom w:val="single" w:color="B8C5D0" w:sz="4"/>
              <w:right w:val="single" w:color="B8C5D0" w:sz="4"/>
            </w:tcBorders>
            <w:shd w:fill="1F3A5F" w:val="clear"/>
            <w:tcMar>
              <w:top w:type="dxa" w:w="100"/>
              <w:left w:type="dxa" w:w="140"/>
              <w:bottom w:type="dxa" w:w="100"/>
              <w:right w:type="dxa" w:w="140"/>
            </w:tcMar>
          </w:tcPr>
          <w:p>
            <w:r>
              <w:rPr>
                <w:b/>
                <w:bCs/>
                <w:color w:val="FFFFFF"/>
                <w:sz w:val="20"/>
                <w:szCs w:val="20"/>
              </w:rPr>
              <w:t xml:space="preserve">Fase</w:t>
            </w:r>
          </w:p>
        </w:tc>
        <w:tc>
          <w:tcPr>
            <w:tcW w:type="dxa" w:w="6760"/>
            <w:tcBorders>
              <w:top w:val="single" w:color="B8C5D0" w:sz="4"/>
              <w:left w:val="single" w:color="B8C5D0" w:sz="4"/>
              <w:bottom w:val="single" w:color="B8C5D0" w:sz="4"/>
              <w:right w:val="single" w:color="B8C5D0" w:sz="4"/>
            </w:tcBorders>
            <w:shd w:fill="1F3A5F" w:val="clear"/>
            <w:tcMar>
              <w:top w:type="dxa" w:w="100"/>
              <w:left w:type="dxa" w:w="140"/>
              <w:bottom w:type="dxa" w:w="100"/>
              <w:right w:type="dxa" w:w="140"/>
            </w:tcMar>
          </w:tcPr>
          <w:p>
            <w:r>
              <w:rPr>
                <w:b/>
                <w:bCs/>
                <w:color w:val="FFFFFF"/>
                <w:sz w:val="20"/>
                <w:szCs w:val="20"/>
              </w:rPr>
              <w:t xml:space="preserve">Descrizione</w:t>
            </w:r>
          </w:p>
        </w:tc>
        <w:tc>
          <w:tcPr>
            <w:tcW w:type="dxa" w:w="1800"/>
            <w:tcBorders>
              <w:top w:val="single" w:color="B8C5D0" w:sz="4"/>
              <w:left w:val="single" w:color="B8C5D0" w:sz="4"/>
              <w:bottom w:val="single" w:color="B8C5D0" w:sz="4"/>
              <w:right w:val="single" w:color="B8C5D0" w:sz="4"/>
            </w:tcBorders>
            <w:shd w:fill="1F3A5F" w:val="clear"/>
            <w:tcMar>
              <w:top w:type="dxa" w:w="100"/>
              <w:left w:type="dxa" w:w="140"/>
              <w:bottom w:type="dxa" w:w="100"/>
              <w:right w:type="dxa" w:w="140"/>
            </w:tcMar>
          </w:tcPr>
          <w:p>
            <w:r>
              <w:rPr>
                <w:b/>
                <w:bCs/>
                <w:color w:val="FFFFFF"/>
                <w:sz w:val="20"/>
                <w:szCs w:val="20"/>
              </w:rPr>
              <w:t xml:space="preserve">Giornate</w:t>
            </w:r>
          </w:p>
        </w:tc>
      </w:tr>
      <w:tr>
        <w:tc>
          <w:tcPr>
            <w:tcW w:type="dxa" w:w="8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0</w:t>
            </w:r>
          </w:p>
        </w:tc>
        <w:tc>
          <w:tcPr>
            <w:tcW w:type="dxa" w:w="676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Setup ambiente: Python, driver Access, struttura repository, script di lettura test del DB.</w:t>
            </w:r>
          </w:p>
        </w:tc>
        <w:tc>
          <w:tcPr>
            <w:tcW w:type="dxa" w:w="18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0,5</w:t>
            </w:r>
          </w:p>
        </w:tc>
      </w:tr>
      <w:tr>
        <w:tc>
          <w:tcPr>
            <w:tcW w:type="dxa" w:w="8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1</w:t>
            </w:r>
          </w:p>
        </w:tc>
        <w:tc>
          <w:tcPr>
            <w:tcW w:type="dxa" w:w="676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Backend: classe Pratica, query CARVEI, parsing CF, lookup catastale, test su dati reali.</w:t>
            </w:r>
          </w:p>
        </w:tc>
        <w:tc>
          <w:tcPr>
            <w:tcW w:type="dxa" w:w="18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1,0</w:t>
            </w:r>
          </w:p>
        </w:tc>
      </w:tr>
      <w:tr>
        <w:tc>
          <w:tcPr>
            <w:tcW w:type="dxa" w:w="8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2</w:t>
            </w:r>
          </w:p>
        </w:tc>
        <w:tc>
          <w:tcPr>
            <w:tcW w:type="dxa" w:w="676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Interfaccia web minima: lista pratiche, ricerca, schermata di dettaglio con anteprima.</w:t>
            </w:r>
          </w:p>
        </w:tc>
        <w:tc>
          <w:tcPr>
            <w:tcW w:type="dxa" w:w="18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1,5</w:t>
            </w:r>
          </w:p>
        </w:tc>
      </w:tr>
      <w:tr>
        <w:tc>
          <w:tcPr>
            <w:tcW w:type="dxa" w:w="8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3</w:t>
            </w:r>
          </w:p>
        </w:tc>
        <w:tc>
          <w:tcPr>
            <w:tcW w:type="dxa" w:w="676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Template Word con segnaposto: deriva dal Modulo-Cessione-del-credito.docx originale. Verifica byte-per-byte del testo fisso.</w:t>
            </w:r>
          </w:p>
        </w:tc>
        <w:tc>
          <w:tcPr>
            <w:tcW w:type="dxa" w:w="18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1,0</w:t>
            </w:r>
          </w:p>
        </w:tc>
      </w:tr>
      <w:tr>
        <w:tc>
          <w:tcPr>
            <w:tcW w:type="dxa" w:w="8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4</w:t>
            </w:r>
          </w:p>
        </w:tc>
        <w:tc>
          <w:tcPr>
            <w:tcW w:type="dxa" w:w="676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Generazione PDF e gestione stampa: LibreOffice headless o docx2pdf, fallback su download manuale.</w:t>
            </w:r>
          </w:p>
        </w:tc>
        <w:tc>
          <w:tcPr>
            <w:tcW w:type="dxa" w:w="18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0,5</w:t>
            </w:r>
          </w:p>
        </w:tc>
      </w:tr>
      <w:tr>
        <w:tc>
          <w:tcPr>
            <w:tcW w:type="dxa" w:w="8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5</w:t>
            </w:r>
          </w:p>
        </w:tc>
        <w:tc>
          <w:tcPr>
            <w:tcW w:type="dxa" w:w="676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Upload scansione e archiviazione: drag-and-drop, salvataggio in Pratiche\&lt;N&gt;\Privati e archivio centrale.</w:t>
            </w:r>
          </w:p>
        </w:tc>
        <w:tc>
          <w:tcPr>
            <w:tcW w:type="dxa" w:w="18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0,5</w:t>
            </w:r>
          </w:p>
        </w:tc>
      </w:tr>
      <w:tr>
        <w:tc>
          <w:tcPr>
            <w:tcW w:type="dxa" w:w="8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6</w:t>
            </w:r>
          </w:p>
        </w:tc>
        <w:tc>
          <w:tcPr>
            <w:tcW w:type="dxa" w:w="676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Hardening: schema check, logging, gestione errori connessione DB, retry su lock.</w:t>
            </w:r>
          </w:p>
        </w:tc>
        <w:tc>
          <w:tcPr>
            <w:tcW w:type="dxa" w:w="18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0,5</w:t>
            </w:r>
          </w:p>
        </w:tc>
      </w:tr>
      <w:tr>
        <w:tc>
          <w:tcPr>
            <w:tcW w:type="dxa" w:w="8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7</w:t>
            </w:r>
          </w:p>
        </w:tc>
        <w:tc>
          <w:tcPr>
            <w:tcW w:type="dxa" w:w="676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Test in produzione con 5-10 pratiche reali; correzione bug; rifinitura UX.</w:t>
            </w:r>
          </w:p>
        </w:tc>
        <w:tc>
          <w:tcPr>
            <w:tcW w:type="dxa" w:w="18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1,0</w:t>
            </w:r>
          </w:p>
        </w:tc>
      </w:tr>
      <w:tr>
        <w:tc>
          <w:tcPr>
            <w:tcW w:type="dxa" w:w="8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8</w:t>
            </w:r>
          </w:p>
        </w:tc>
        <w:tc>
          <w:tcPr>
            <w:tcW w:type="dxa" w:w="676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Installazione come servizio Windows con NSSM; documentazione di gestione (start/stop/log).</w:t>
            </w:r>
          </w:p>
        </w:tc>
        <w:tc>
          <w:tcPr>
            <w:tcW w:type="dxa" w:w="18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0,5</w:t>
            </w:r>
          </w:p>
        </w:tc>
      </w:tr>
      <w:tr>
        <w:tc>
          <w:tcPr>
            <w:tcW w:type="dxa" w:w="8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
            </w:r>
          </w:p>
        </w:tc>
        <w:tc>
          <w:tcPr>
            <w:tcW w:type="dxa" w:w="676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Totale stimato</w:t>
            </w:r>
          </w:p>
        </w:tc>
        <w:tc>
          <w:tcPr>
            <w:tcW w:type="dxa" w:w="18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7,0</w:t>
            </w:r>
          </w:p>
        </w:tc>
      </w:tr>
    </w:tbl>
    <w:p>
      <w:r>
        <w:t xml:space="preserve">Buffer di sicurezza consigliato: +20% (1,5 giornate). Totale realistico: 7–9 giornate.</w:t>
      </w:r>
    </w:p>
    <w:p>
      <w:pPr>
        <w:pStyle w:val="Heading1"/>
      </w:pPr>
      <w:r>
        <w:t xml:space="preserve">9. Rischi e mitigazioni</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300"/>
        <w:gridCol w:w="3720"/>
      </w:tblGrid>
      <w:tr>
        <w:trPr>
          <w:tblHeader/>
        </w:trPr>
        <w:tc>
          <w:tcPr>
            <w:tcW w:type="dxa" w:w="3200"/>
            <w:tcBorders>
              <w:top w:val="single" w:color="B8C5D0" w:sz="4"/>
              <w:left w:val="single" w:color="B8C5D0" w:sz="4"/>
              <w:bottom w:val="single" w:color="B8C5D0" w:sz="4"/>
              <w:right w:val="single" w:color="B8C5D0" w:sz="4"/>
            </w:tcBorders>
            <w:shd w:fill="1F3A5F" w:val="clear"/>
            <w:tcMar>
              <w:top w:type="dxa" w:w="100"/>
              <w:left w:type="dxa" w:w="140"/>
              <w:bottom w:type="dxa" w:w="100"/>
              <w:right w:type="dxa" w:w="140"/>
            </w:tcMar>
          </w:tcPr>
          <w:p>
            <w:r>
              <w:rPr>
                <w:b/>
                <w:bCs/>
                <w:color w:val="FFFFFF"/>
                <w:sz w:val="20"/>
                <w:szCs w:val="20"/>
              </w:rPr>
              <w:t xml:space="preserve">Rischio</w:t>
            </w:r>
          </w:p>
        </w:tc>
        <w:tc>
          <w:tcPr>
            <w:tcW w:type="dxa" w:w="1500"/>
            <w:tcBorders>
              <w:top w:val="single" w:color="B8C5D0" w:sz="4"/>
              <w:left w:val="single" w:color="B8C5D0" w:sz="4"/>
              <w:bottom w:val="single" w:color="B8C5D0" w:sz="4"/>
              <w:right w:val="single" w:color="B8C5D0" w:sz="4"/>
            </w:tcBorders>
            <w:shd w:fill="1F3A5F" w:val="clear"/>
            <w:tcMar>
              <w:top w:type="dxa" w:w="100"/>
              <w:left w:type="dxa" w:w="140"/>
              <w:bottom w:type="dxa" w:w="100"/>
              <w:right w:type="dxa" w:w="140"/>
            </w:tcMar>
          </w:tcPr>
          <w:p>
            <w:r>
              <w:rPr>
                <w:b/>
                <w:bCs/>
                <w:color w:val="FFFFFF"/>
                <w:sz w:val="20"/>
                <w:szCs w:val="20"/>
              </w:rPr>
              <w:t xml:space="preserve">Probabilità</w:t>
            </w:r>
          </w:p>
        </w:tc>
        <w:tc>
          <w:tcPr>
            <w:tcW w:type="dxa" w:w="1300"/>
            <w:tcBorders>
              <w:top w:val="single" w:color="B8C5D0" w:sz="4"/>
              <w:left w:val="single" w:color="B8C5D0" w:sz="4"/>
              <w:bottom w:val="single" w:color="B8C5D0" w:sz="4"/>
              <w:right w:val="single" w:color="B8C5D0" w:sz="4"/>
            </w:tcBorders>
            <w:shd w:fill="1F3A5F" w:val="clear"/>
            <w:tcMar>
              <w:top w:type="dxa" w:w="100"/>
              <w:left w:type="dxa" w:w="140"/>
              <w:bottom w:type="dxa" w:w="100"/>
              <w:right w:type="dxa" w:w="140"/>
            </w:tcMar>
          </w:tcPr>
          <w:p>
            <w:r>
              <w:rPr>
                <w:b/>
                <w:bCs/>
                <w:color w:val="FFFFFF"/>
                <w:sz w:val="20"/>
                <w:szCs w:val="20"/>
              </w:rPr>
              <w:t xml:space="preserve">Impatto</w:t>
            </w:r>
          </w:p>
        </w:tc>
        <w:tc>
          <w:tcPr>
            <w:tcW w:type="dxa" w:w="3720"/>
            <w:tcBorders>
              <w:top w:val="single" w:color="B8C5D0" w:sz="4"/>
              <w:left w:val="single" w:color="B8C5D0" w:sz="4"/>
              <w:bottom w:val="single" w:color="B8C5D0" w:sz="4"/>
              <w:right w:val="single" w:color="B8C5D0" w:sz="4"/>
            </w:tcBorders>
            <w:shd w:fill="1F3A5F" w:val="clear"/>
            <w:tcMar>
              <w:top w:type="dxa" w:w="100"/>
              <w:left w:type="dxa" w:w="140"/>
              <w:bottom w:type="dxa" w:w="100"/>
              <w:right w:type="dxa" w:w="140"/>
            </w:tcMar>
          </w:tcPr>
          <w:p>
            <w:r>
              <w:rPr>
                <w:b/>
                <w:bCs/>
                <w:color w:val="FFFFFF"/>
                <w:sz w:val="20"/>
                <w:szCs w:val="20"/>
              </w:rPr>
              <w:t xml:space="preserve">Mitigazione</w:t>
            </w:r>
          </w:p>
        </w:tc>
      </w:tr>
      <w:tr>
        <w:tc>
          <w:tcPr>
            <w:tcW w:type="dxa" w:w="32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Lock dei file .ldb durante uso intensivo di WinCar</w:t>
            </w:r>
          </w:p>
        </w:tc>
        <w:tc>
          <w:tcPr>
            <w:tcW w:type="dxa" w:w="15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Media</w:t>
            </w:r>
          </w:p>
        </w:tc>
        <w:tc>
          <w:tcPr>
            <w:tcW w:type="dxa" w:w="13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Basso</w:t>
            </w:r>
          </w:p>
        </w:tc>
        <w:tc>
          <w:tcPr>
            <w:tcW w:type="dxa" w:w="372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Connessione share-deny-none + retry con backoff. Al limite, si rimanda di pochi secondi la lettura.</w:t>
            </w:r>
          </w:p>
        </w:tc>
      </w:tr>
      <w:tr>
        <w:tc>
          <w:tcPr>
            <w:tcW w:type="dxa" w:w="32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WinCar viene aggiornato e cambia schema della tabella CARVEI</w:t>
            </w:r>
          </w:p>
        </w:tc>
        <w:tc>
          <w:tcPr>
            <w:tcW w:type="dxa" w:w="15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Bassa (no major release annunciata)</w:t>
            </w:r>
          </w:p>
        </w:tc>
        <w:tc>
          <w:tcPr>
            <w:tcW w:type="dxa" w:w="13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Alto</w:t>
            </w:r>
          </w:p>
        </w:tc>
        <w:tc>
          <w:tcPr>
            <w:tcW w:type="dxa" w:w="372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Schema check al boot: l'app si rifiuta di partire e logga le differenze. Aggiornamento del mapping in 15 minuti.</w:t>
            </w:r>
          </w:p>
        </w:tc>
      </w:tr>
      <w:tr>
        <w:tc>
          <w:tcPr>
            <w:tcW w:type="dxa" w:w="32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Errore di trascrizione nel modulo firmato</w:t>
            </w:r>
          </w:p>
        </w:tc>
        <w:tc>
          <w:tcPr>
            <w:tcW w:type="dxa" w:w="15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Bassa</w:t>
            </w:r>
          </w:p>
        </w:tc>
        <w:tc>
          <w:tcPr>
            <w:tcW w:type="dxa" w:w="13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Alto (legale)</w:t>
            </w:r>
          </w:p>
        </w:tc>
        <w:tc>
          <w:tcPr>
            <w:tcW w:type="dxa" w:w="372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Anteprima a schermo prima della stampa + obbligo conferma. Tutto il testo fisso viene riprodotto byte-per-byte dal template originale.</w:t>
            </w:r>
          </w:p>
        </w:tc>
      </w:tr>
      <w:tr>
        <w:tc>
          <w:tcPr>
            <w:tcW w:type="dxa" w:w="32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Codice fiscale mancante o errato in CARVEI</w:t>
            </w:r>
          </w:p>
        </w:tc>
        <w:tc>
          <w:tcPr>
            <w:tcW w:type="dxa" w:w="15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Bassa</w:t>
            </w:r>
          </w:p>
        </w:tc>
        <w:tc>
          <w:tcPr>
            <w:tcW w:type="dxa" w:w="13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Medio</w:t>
            </w:r>
          </w:p>
        </w:tc>
        <w:tc>
          <w:tcPr>
            <w:tcW w:type="dxa" w:w="372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Validazione del CF (checksum) prima della derivazione di data e luogo di nascita; in caso di fallimento l'app chiede di inserire manualmente i due campi.</w:t>
            </w:r>
          </w:p>
        </w:tc>
      </w:tr>
      <w:tr>
        <w:tc>
          <w:tcPr>
            <w:tcW w:type="dxa" w:w="32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Tablet su WiFi guest che riesce a raggiungere l'app</w:t>
            </w:r>
          </w:p>
        </w:tc>
        <w:tc>
          <w:tcPr>
            <w:tcW w:type="dxa" w:w="15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Bassa</w:t>
            </w:r>
          </w:p>
        </w:tc>
        <w:tc>
          <w:tcPr>
            <w:tcW w:type="dxa" w:w="13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Medio</w:t>
            </w:r>
          </w:p>
        </w:tc>
        <w:tc>
          <w:tcPr>
            <w:tcW w:type="dxa" w:w="372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L'app bindata solo sull'interfaccia LAN aziendale; opzionalmente codice PIN a sessione.</w:t>
            </w:r>
          </w:p>
        </w:tc>
      </w:tr>
      <w:tr>
        <w:tc>
          <w:tcPr>
            <w:tcW w:type="dxa" w:w="32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Aggiornamento Windows che rompe il driver Access</w:t>
            </w:r>
          </w:p>
        </w:tc>
        <w:tc>
          <w:tcPr>
            <w:tcW w:type="dxa" w:w="15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Bassa</w:t>
            </w:r>
          </w:p>
        </w:tc>
        <w:tc>
          <w:tcPr>
            <w:tcW w:type="dxa" w:w="130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Medio</w:t>
            </w:r>
          </w:p>
        </w:tc>
        <w:tc>
          <w:tcPr>
            <w:tcW w:type="dxa" w:w="3720"/>
            <w:tcBorders>
              <w:top w:val="single" w:color="B8C5D0" w:sz="4"/>
              <w:left w:val="single" w:color="B8C5D0" w:sz="4"/>
              <w:bottom w:val="single" w:color="B8C5D0" w:sz="4"/>
              <w:right w:val="single" w:color="B8C5D0" w:sz="4"/>
            </w:tcBorders>
            <w:shd w:fill="F2F5F8" w:val="clear"/>
            <w:tcMar>
              <w:top w:type="dxa" w:w="100"/>
              <w:left w:type="dxa" w:w="140"/>
              <w:bottom w:type="dxa" w:w="100"/>
              <w:right w:type="dxa" w:w="140"/>
            </w:tcMar>
          </w:tcPr>
          <w:p>
            <w:r>
              <w:rPr>
                <w:sz w:val="20"/>
                <w:szCs w:val="20"/>
              </w:rPr>
              <w:t xml:space="preserve">Driver Access ridistribuibile è stabile da anni. Comunque, l'app logga apertamente la mancanza del driver e suggerisce reinstallazione.</w:t>
            </w:r>
          </w:p>
        </w:tc>
      </w:tr>
      <w:tr>
        <w:tc>
          <w:tcPr>
            <w:tcW w:type="dxa" w:w="32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Perdita del DB WinCar</w:t>
            </w:r>
          </w:p>
        </w:tc>
        <w:tc>
          <w:tcPr>
            <w:tcW w:type="dxa" w:w="15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Bassa</w:t>
            </w:r>
          </w:p>
        </w:tc>
        <w:tc>
          <w:tcPr>
            <w:tcW w:type="dxa" w:w="130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Altissimo</w:t>
            </w:r>
          </w:p>
        </w:tc>
        <w:tc>
          <w:tcPr>
            <w:tcW w:type="dxa" w:w="3720"/>
            <w:tcBorders>
              <w:top w:val="single" w:color="B8C5D0" w:sz="4"/>
              <w:left w:val="single" w:color="B8C5D0" w:sz="4"/>
              <w:bottom w:val="single" w:color="B8C5D0" w:sz="4"/>
              <w:right w:val="single" w:color="B8C5D0" w:sz="4"/>
            </w:tcBorders>
            <w:tcMar>
              <w:top w:type="dxa" w:w="100"/>
              <w:left w:type="dxa" w:w="140"/>
              <w:bottom w:type="dxa" w:w="100"/>
              <w:right w:type="dxa" w:w="140"/>
            </w:tcMar>
          </w:tcPr>
          <w:p>
            <w:r>
              <w:rPr>
                <w:sz w:val="20"/>
                <w:szCs w:val="20"/>
              </w:rPr>
              <w:t xml:space="preserve">NON è responsabilità di questa app, ma è da verificare che il backup attuale del PC includa C:\WinCar\ (e che venga testato il restore).</w:t>
            </w:r>
          </w:p>
        </w:tc>
      </w:tr>
    </w:tbl>
    <w:p>
      <w:pPr>
        <w:pStyle w:val="Heading1"/>
      </w:pPr>
      <w:r>
        <w:t xml:space="preserve">10. Considerazioni legali</w:t>
      </w:r>
    </w:p>
    <w:p>
      <w:r>
        <w:t xml:space="preserve">La cessione del credito è un atto privato bilaterale ai sensi degli artt. 1260 ss. c.c. La sua validità formale dipende dall'identificazione delle parti e dalla firma autografa. L'app non interferisce con la validità legale del documento: si limita a compilare i campi e a stampare un originale identico al modello attualmente in uso.</w:t>
      </w:r>
    </w:p>
    <w:p>
      <w:r>
        <w:t xml:space="preserve">La scansione del documento firmato non sostituisce l'originale cartaceo (che resta l'unico documento con valore probatorio); è una copia di servizio per l'archiviazione. Per questo motivo l'app salva anche un metadato con la data della scansione e l'utente che l'ha caricata, utile in caso di disputa interna.</w:t>
      </w:r>
    </w:p>
    <w:p>
      <w:r>
        <w:t xml:space="preserve">Trattamento dei dati personali: l'app non comunica con servizi esterni, non invia statistiche, non si aggiorna automaticamente da Internet. Tutti i dati restano nel perimetro fisico della carrozzeria. Compatibile con un Registro dei Trattamenti GDPR aziendale.</w:t>
      </w:r>
    </w:p>
    <w:p>
      <w:pPr>
        <w:pStyle w:val="Heading1"/>
      </w:pPr>
      <w:r>
        <w:t xml:space="preserve">11. Decisioni aperte</w:t>
      </w:r>
    </w:p>
    <w:p>
      <w:r>
        <w:t xml:space="preserve">Prima di scrivere la prima riga di codice è utile chiarire alcuni punti che influenzano direttamente il design:</w:t>
      </w:r>
    </w:p>
    <w:p>
      <w:pPr>
        <w:pStyle w:val="ListParagraph"/>
        <w:numPr>
          <w:ilvl w:val="0"/>
          <w:numId w:val="2"/>
        </w:numPr>
      </w:pPr>
      <w:r>
        <w:t xml:space="preserve">Uso concorrente: una persona alla volta, o più operatori contemporaneamente da più dispositivi? Influenza la gestione delle sessioni.</w:t>
      </w:r>
    </w:p>
    <w:p>
      <w:pPr>
        <w:pStyle w:val="ListParagraph"/>
        <w:numPr>
          <w:ilvl w:val="0"/>
          <w:numId w:val="2"/>
        </w:numPr>
      </w:pPr>
      <w:r>
        <w:t xml:space="preserve">Autenticazione: l'app deve chiedere un PIN/utente o si fida di chi è connesso alla LAN aziendale?</w:t>
      </w:r>
    </w:p>
    <w:p>
      <w:pPr>
        <w:pStyle w:val="ListParagraph"/>
        <w:numPr>
          <w:ilvl w:val="0"/>
          <w:numId w:val="2"/>
        </w:numPr>
      </w:pPr>
      <w:r>
        <w:t xml:space="preserve">Numerazione delle cessioni: progressivo automatico (es. CES-2026-0001) o nessuna numerazione (basta il numero pratica WinCar)?</w:t>
      </w:r>
    </w:p>
    <w:p>
      <w:pPr>
        <w:pStyle w:val="ListParagraph"/>
        <w:numPr>
          <w:ilvl w:val="0"/>
          <w:numId w:val="2"/>
        </w:numPr>
      </w:pPr>
      <w:r>
        <w:t xml:space="preserve">Archiviazione del PDF non firmato (precompilato): salvarlo come backup oppure no?</w:t>
      </w:r>
    </w:p>
    <w:p>
      <w:pPr>
        <w:pStyle w:val="ListParagraph"/>
        <w:numPr>
          <w:ilvl w:val="0"/>
          <w:numId w:val="2"/>
        </w:numPr>
      </w:pPr>
      <w:r>
        <w:t xml:space="preserve">Logo della carrozzeria sul PDF: in header dell'app sì o no? Sul modulo stampato il design originale è già senza logo.</w:t>
      </w:r>
    </w:p>
    <w:p>
      <w:pPr>
        <w:pStyle w:val="ListParagraph"/>
        <w:numPr>
          <w:ilvl w:val="0"/>
          <w:numId w:val="2"/>
        </w:numPr>
      </w:pPr>
      <w:r>
        <w:t xml:space="preserve">Clienti stranieri: il modulo resta sempre in italiano o serve una versione bilingue (it/en)?</w:t>
      </w:r>
    </w:p>
    <w:p>
      <w:pPr>
        <w:pStyle w:val="ListParagraph"/>
        <w:numPr>
          <w:ilvl w:val="0"/>
          <w:numId w:val="2"/>
        </w:numPr>
      </w:pPr>
      <w:r>
        <w:t xml:space="preserve">Backup del DB WinCar: esiste un backup periodico testato di C:\WinCar\? Va verificato prima di mettere in produzione l'app, per ridondanza.</w:t>
      </w:r>
    </w:p>
    <w:p>
      <w:pPr>
        <w:pStyle w:val="ListParagraph"/>
        <w:numPr>
          <w:ilvl w:val="0"/>
          <w:numId w:val="2"/>
        </w:numPr>
      </w:pPr>
      <w:r>
        <w:t xml:space="preserve">PC di installazione: specs del PC su cui gira WinCar (CPU, RAM, Windows version)? Va verificato che possa ospitare anche l'app e LibreOffice headless.</w:t>
      </w:r>
    </w:p>
    <w:p>
      <w:pPr>
        <w:pStyle w:val="Heading1"/>
      </w:pPr>
      <w:r>
        <w:t xml:space="preserve">12. Prossimi passi consigliati</w:t>
      </w:r>
    </w:p>
    <w:p>
      <w:r>
        <w:t xml:space="preserve">1. Lettura e revisione di questo documento (15 min).</w:t>
      </w:r>
    </w:p>
    <w:p>
      <w:r>
        <w:t xml:space="preserve">2. Risposta alle 8 decisioni aperte del paragrafo precedente.</w:t>
      </w:r>
    </w:p>
    <w:p>
      <w:r>
        <w:t xml:space="preserve">3. Verifica del backup di C:\WinCar\: esiste e si è in grado di ripristinarlo? (10 min con l'IT, se c'è).</w:t>
      </w:r>
    </w:p>
    <w:p>
      <w:r>
        <w:t xml:space="preserve">4. Setup dell'ambiente di sviluppo sul PC della carrozzeria oppure su un PC di test che abbia una copia recente del DB.</w:t>
      </w:r>
    </w:p>
    <w:p>
      <w:r>
        <w:t xml:space="preserve">5. Implementazione delle fasi 0–3 (prototipo funzionante: lista pratiche, anteprima compilata, generazione .docx) — circa 4 giornate.</w:t>
      </w:r>
    </w:p>
    <w:p>
      <w:r>
        <w:t xml:space="preserve">6. Demo interna alla carrozzeria con 3-5 pratiche reali per validare il flusso.</w:t>
      </w:r>
    </w:p>
    <w:p>
      <w:r>
        <w:t xml:space="preserve">7. Implementazione fasi 4–6 e prima messa in produzione assistita.</w:t>
      </w:r>
    </w:p>
    <w:p>
      <w:pPr>
        <w:spacing w:before="800"/>
      </w:pPr>
      <w:r>
        <w:rPr>
          <w:b/>
          <w:bCs/>
        </w:rPr>
        <w:t xml:space="preserve">Fine documento. </w:t>
      </w:r>
      <w:r>
        <w:rPr>
          <w:i/>
          <w:iCs/>
        </w:rPr>
        <w:t xml:space="preserve">In caso di osservazioni o modifiche, basta annotarle in margine e rimandarmi il file: aggiornerò la versione 1.1.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90A0"/>
        <w:sz w:val="18"/>
        <w:szCs w:val="18"/>
      </w:rPr>
      <w:t xml:space="preserve">Pag. </w:t>
    </w:r>
    <w:r>
      <w:rPr>
        <w:color w:val="8090A0"/>
        <w:sz w:val="18"/>
        <w:szCs w:val="18"/>
      </w:rPr>
      <w:fldChar w:fldCharType="begin"/>
      <w:instrText xml:space="preserve">PAGE</w:instrText>
      <w:fldChar w:fldCharType="separate"/>
      <w:fldChar w:fldCharType="end"/>
    </w:r>
    <w:r>
      <w:rPr>
        <w:color w:val="8090A0"/>
        <w:sz w:val="18"/>
        <w:szCs w:val="18"/>
      </w:rPr>
      <w:t xml:space="preserve"> di </w:t>
    </w:r>
    <w:r>
      <w:rPr>
        <w:color w:val="8090A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00"/>
      </w:tabs>
    </w:pPr>
    <w:r>
      <w:rPr>
        <w:color w:val="8090A0"/>
        <w:sz w:val="18"/>
        <w:szCs w:val="18"/>
      </w:rPr>
      <w:t xml:space="preserve">App Cessione del Credito  —  Documento di analisi</w:t>
    </w:r>
    <w:r>
      <w:rPr>
        <w:color w:val="8090A0"/>
        <w:sz w:val="18"/>
        <w:szCs w:val="18"/>
      </w:rPr>
      <w:t xml:space="preserve">	LYS Auto srl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D4A6F"/>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2026-05-12T15:00:43.492Z</dcterms:created>
  <dcterms:modified xsi:type="dcterms:W3CDTF">2026-05-12T15:00:43.492Z</dcterms:modified>
</cp:coreProperties>
</file>

<file path=docProps/custom.xml><?xml version="1.0" encoding="utf-8"?>
<Properties xmlns="http://schemas.openxmlformats.org/officeDocument/2006/custom-properties" xmlns:vt="http://schemas.openxmlformats.org/officeDocument/2006/docPropsVTypes"/>
</file>