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LYS Workflow Hub — Decisioni finalizzate v2</w:t>
      </w:r>
    </w:p>
    <w:p>
      <w:pPr>
        <w:jc w:val="center"/>
      </w:pPr>
      <w:r>
        <w:rPr>
          <w:i/>
          <w:color w:val="4A5568"/>
          <w:sz w:val="22"/>
        </w:rPr>
        <w:t>Riepilogo delle decisioni di progetto — May 2026</w:t>
      </w:r>
    </w:p>
    <w:p/>
    <w:p>
      <w:r>
        <w:t>Questo documento condensa in una pagina le risposte alle 10 decisioni aperte del documento di analisi v2 ("LYS Workflow Hub"). Funge da riferimento operativo durante lo sviluppo. Eventuali modifiche successive vanno annotate qui in coda con data e motivazione.</w:t>
      </w:r>
    </w:p>
    <w:p>
      <w:pPr>
        <w:spacing w:before="240" w:after="120"/>
      </w:pPr>
      <w:r>
        <w:rPr>
          <w:b/>
          <w:color w:val="1F3A5F"/>
          <w:sz w:val="36"/>
        </w:rPr>
        <w:t>Decisioni adottate</w:t>
      </w:r>
    </w:p>
    <w:tbl>
      <w:tblPr>
        <w:tblStyle w:val="LightGrid-Accent1"/>
        <w:tblW w:type="auto" w:w="0"/>
        <w:tblLayout w:type="fixed"/>
        <w:tblLook w:firstColumn="1" w:firstRow="1" w:lastColumn="0" w:lastRow="0" w:noHBand="0" w:noVBand="1" w:val="04A0"/>
      </w:tblPr>
      <w:tblGrid>
        <w:gridCol w:w="2551"/>
        <w:gridCol w:w="3969"/>
        <w:gridCol w:w="3118"/>
      </w:tblGrid>
      <w:tr>
        <w:tc>
          <w:tcPr>
            <w:tcW w:type="dxa" w:w="2551"/>
            <w:shd w:val="clear" w:color="auto" w:fill="1F3A5F"/>
          </w:tcPr>
          <w:p>
            <w:r/>
            <w:r>
              <w:rPr>
                <w:b/>
                <w:color w:val="FFFFFF"/>
                <w:sz w:val="20"/>
              </w:rPr>
              <w:t>Decisione</w:t>
            </w:r>
          </w:p>
        </w:tc>
        <w:tc>
          <w:tcPr>
            <w:tcW w:type="dxa" w:w="3969"/>
            <w:shd w:val="clear" w:color="auto" w:fill="1F3A5F"/>
          </w:tcPr>
          <w:p>
            <w:r/>
            <w:r>
              <w:rPr>
                <w:b/>
                <w:color w:val="FFFFFF"/>
                <w:sz w:val="20"/>
              </w:rPr>
              <w:t>Scelta</w:t>
            </w:r>
          </w:p>
        </w:tc>
        <w:tc>
          <w:tcPr>
            <w:tcW w:type="dxa" w:w="3118"/>
            <w:shd w:val="clear" w:color="auto" w:fill="1F3A5F"/>
          </w:tcPr>
          <w:p>
            <w:r/>
            <w:r>
              <w:rPr>
                <w:b/>
                <w:color w:val="FFFFFF"/>
                <w:sz w:val="20"/>
              </w:rPr>
              <w:t>Note</w:t>
            </w:r>
          </w:p>
        </w:tc>
      </w:tr>
      <w:tr>
        <w:tc>
          <w:tcPr>
            <w:tcW w:type="dxa" w:w="2551"/>
          </w:tcPr>
          <w:p>
            <w:r/>
            <w:r>
              <w:rPr>
                <w:sz w:val="20"/>
              </w:rPr>
              <w:t>1. Provider PEC</w:t>
            </w:r>
          </w:p>
        </w:tc>
        <w:tc>
          <w:tcPr>
            <w:tcW w:type="dxa" w:w="3969"/>
          </w:tcPr>
          <w:p>
            <w:r/>
            <w:r>
              <w:rPr>
                <w:sz w:val="20"/>
              </w:rPr>
              <w:t>Legalmail (InfoCert)</w:t>
            </w:r>
          </w:p>
        </w:tc>
        <w:tc>
          <w:tcPr>
            <w:tcW w:type="dxa" w:w="3118"/>
          </w:tcPr>
          <w:p>
            <w:r/>
            <w:r>
              <w:rPr>
                <w:sz w:val="20"/>
              </w:rPr>
              <w:t>IMAP TLS — credenziali cifrate in locale</w:t>
            </w:r>
          </w:p>
        </w:tc>
      </w:tr>
      <w:tr>
        <w:tc>
          <w:tcPr>
            <w:tcW w:type="dxa" w:w="2551"/>
            <w:shd w:val="clear" w:color="auto" w:fill="F2F5F8"/>
          </w:tcPr>
          <w:p>
            <w:r/>
            <w:r>
              <w:rPr>
                <w:sz w:val="20"/>
              </w:rPr>
              <w:t>2. Email ordinaria</w:t>
            </w:r>
          </w:p>
        </w:tc>
        <w:tc>
          <w:tcPr>
            <w:tcW w:type="dxa" w:w="3969"/>
            <w:shd w:val="clear" w:color="auto" w:fill="F2F5F8"/>
          </w:tcPr>
          <w:p>
            <w:r/>
            <w:r>
              <w:rPr>
                <w:sz w:val="20"/>
              </w:rPr>
              <w:t>amministrazione@lysauto.it (Tophost)</w:t>
            </w:r>
          </w:p>
        </w:tc>
        <w:tc>
          <w:tcPr>
            <w:tcW w:type="dxa" w:w="3118"/>
            <w:shd w:val="clear" w:color="auto" w:fill="F2F5F8"/>
          </w:tcPr>
          <w:p>
            <w:r/>
            <w:r>
              <w:rPr>
                <w:sz w:val="20"/>
              </w:rPr>
              <w:t>IMAP TLS — stessa cassaforte credenziali</w:t>
            </w:r>
          </w:p>
        </w:tc>
      </w:tr>
      <w:tr>
        <w:tc>
          <w:tcPr>
            <w:tcW w:type="dxa" w:w="2551"/>
          </w:tcPr>
          <w:p>
            <w:r/>
            <w:r>
              <w:rPr>
                <w:sz w:val="20"/>
              </w:rPr>
              <w:t>3. Push notification</w:t>
            </w:r>
          </w:p>
        </w:tc>
        <w:tc>
          <w:tcPr>
            <w:tcW w:type="dxa" w:w="3969"/>
          </w:tcPr>
          <w:p>
            <w:r/>
            <w:r>
              <w:rPr>
                <w:sz w:val="20"/>
              </w:rPr>
              <w:t>ntfy.sh server pubblico (gratuito)</w:t>
            </w:r>
          </w:p>
        </w:tc>
        <w:tc>
          <w:tcPr>
            <w:tcW w:type="dxa" w:w="3118"/>
          </w:tcPr>
          <w:p>
            <w:r/>
            <w:r>
              <w:rPr>
                <w:sz w:val="20"/>
              </w:rPr>
              <w:t>Topic dedicato e segreto generato dall'app</w:t>
            </w:r>
          </w:p>
        </w:tc>
      </w:tr>
      <w:tr>
        <w:tc>
          <w:tcPr>
            <w:tcW w:type="dxa" w:w="2551"/>
            <w:shd w:val="clear" w:color="auto" w:fill="F2F5F8"/>
          </w:tcPr>
          <w:p>
            <w:r/>
            <w:r>
              <w:rPr>
                <w:sz w:val="20"/>
              </w:rPr>
              <w:t>4. Budget AI mensile</w:t>
            </w:r>
          </w:p>
        </w:tc>
        <w:tc>
          <w:tcPr>
            <w:tcW w:type="dxa" w:w="3969"/>
            <w:shd w:val="clear" w:color="auto" w:fill="F2F5F8"/>
          </w:tcPr>
          <w:p>
            <w:r/>
            <w:r>
              <w:rPr>
                <w:sz w:val="20"/>
              </w:rPr>
              <w:t>20 €/mese, alert a 15 €</w:t>
            </w:r>
          </w:p>
        </w:tc>
        <w:tc>
          <w:tcPr>
            <w:tcW w:type="dxa" w:w="3118"/>
            <w:shd w:val="clear" w:color="auto" w:fill="F2F5F8"/>
          </w:tcPr>
          <w:p>
            <w:r/>
            <w:r>
              <w:rPr>
                <w:sz w:val="20"/>
              </w:rPr>
              <w:t>Oltre soglia: stop chiamate + fallback regole locali</w:t>
            </w:r>
          </w:p>
        </w:tc>
      </w:tr>
      <w:tr>
        <w:tc>
          <w:tcPr>
            <w:tcW w:type="dxa" w:w="2551"/>
          </w:tcPr>
          <w:p>
            <w:r/>
            <w:r>
              <w:rPr>
                <w:sz w:val="20"/>
              </w:rPr>
              <w:t>5. Categorie risposte assicurazione</w:t>
            </w:r>
          </w:p>
        </w:tc>
        <w:tc>
          <w:tcPr>
            <w:tcW w:type="dxa" w:w="3969"/>
          </w:tcPr>
          <w:p>
            <w:r/>
            <w:r>
              <w:rPr>
                <w:sz w:val="20"/>
              </w:rPr>
              <w:t>7 categorie + 1 'non classificabile'</w:t>
            </w:r>
          </w:p>
        </w:tc>
        <w:tc>
          <w:tcPr>
            <w:tcW w:type="dxa" w:w="3118"/>
          </w:tcPr>
          <w:p>
            <w:r/>
            <w:r>
              <w:rPr>
                <w:sz w:val="20"/>
              </w:rPr>
              <w:t>Vedi dettaglio sotto</w:t>
            </w:r>
          </w:p>
        </w:tc>
      </w:tr>
      <w:tr>
        <w:tc>
          <w:tcPr>
            <w:tcW w:type="dxa" w:w="2551"/>
            <w:shd w:val="clear" w:color="auto" w:fill="F2F5F8"/>
          </w:tcPr>
          <w:p>
            <w:r/>
            <w:r>
              <w:rPr>
                <w:sz w:val="20"/>
              </w:rPr>
              <w:t>6. Anonimizzazione prima dell'AI</w:t>
            </w:r>
          </w:p>
        </w:tc>
        <w:tc>
          <w:tcPr>
            <w:tcW w:type="dxa" w:w="3969"/>
            <w:shd w:val="clear" w:color="auto" w:fill="F2F5F8"/>
          </w:tcPr>
          <w:p>
            <w:r/>
            <w:r>
              <w:rPr>
                <w:sz w:val="20"/>
              </w:rPr>
              <w:t>Aggressiva</w:t>
            </w:r>
          </w:p>
        </w:tc>
        <w:tc>
          <w:tcPr>
            <w:tcW w:type="dxa" w:w="3118"/>
            <w:shd w:val="clear" w:color="auto" w:fill="F2F5F8"/>
          </w:tcPr>
          <w:p>
            <w:r/>
            <w:r>
              <w:rPr>
                <w:sz w:val="20"/>
              </w:rPr>
              <w:t>Rimuove nome, cognome, CF, indirizzo, targa, telefono, email</w:t>
            </w:r>
          </w:p>
        </w:tc>
      </w:tr>
      <w:tr>
        <w:tc>
          <w:tcPr>
            <w:tcW w:type="dxa" w:w="2551"/>
          </w:tcPr>
          <w:p>
            <w:r/>
            <w:r>
              <w:rPr>
                <w:sz w:val="20"/>
              </w:rPr>
              <w:t>7. Bozza di risposta</w:t>
            </w:r>
          </w:p>
        </w:tc>
        <w:tc>
          <w:tcPr>
            <w:tcW w:type="dxa" w:w="3969"/>
          </w:tcPr>
          <w:p>
            <w:r/>
            <w:r>
              <w:rPr>
                <w:sz w:val="20"/>
              </w:rPr>
              <w:t>Italiano formale con firma 'Carrozzeria LYS Auto srl'</w:t>
            </w:r>
          </w:p>
        </w:tc>
        <w:tc>
          <w:tcPr>
            <w:tcW w:type="dxa" w:w="3118"/>
          </w:tcPr>
          <w:p>
            <w:r/>
            <w:r>
              <w:rPr>
                <w:sz w:val="20"/>
              </w:rPr>
              <w:t>Pronta da approvare con un click</w:t>
            </w:r>
          </w:p>
        </w:tc>
      </w:tr>
      <w:tr>
        <w:tc>
          <w:tcPr>
            <w:tcW w:type="dxa" w:w="2551"/>
            <w:shd w:val="clear" w:color="auto" w:fill="F2F5F8"/>
          </w:tcPr>
          <w:p>
            <w:r/>
            <w:r>
              <w:rPr>
                <w:sz w:val="20"/>
              </w:rPr>
              <w:t>8. Registro PEC compagnie</w:t>
            </w:r>
          </w:p>
        </w:tc>
        <w:tc>
          <w:tcPr>
            <w:tcW w:type="dxa" w:w="3969"/>
            <w:shd w:val="clear" w:color="auto" w:fill="F2F5F8"/>
          </w:tcPr>
          <w:p>
            <w:r/>
            <w:r>
              <w:rPr>
                <w:sz w:val="20"/>
              </w:rPr>
              <w:t>Anagrafica interna all'app gestita dall'utente</w:t>
            </w:r>
          </w:p>
        </w:tc>
        <w:tc>
          <w:tcPr>
            <w:tcW w:type="dxa" w:w="3118"/>
            <w:shd w:val="clear" w:color="auto" w:fill="F2F5F8"/>
          </w:tcPr>
          <w:p>
            <w:r/>
            <w:r>
              <w:rPr>
                <w:sz w:val="20"/>
              </w:rPr>
              <w:t>Pagina dedicata nel cruscotto</w:t>
            </w:r>
          </w:p>
        </w:tc>
      </w:tr>
      <w:tr>
        <w:tc>
          <w:tcPr>
            <w:tcW w:type="dxa" w:w="2551"/>
          </w:tcPr>
          <w:p>
            <w:r/>
            <w:r>
              <w:rPr>
                <w:sz w:val="20"/>
              </w:rPr>
              <w:t>9. Caselle da monitorare in v1</w:t>
            </w:r>
          </w:p>
        </w:tc>
        <w:tc>
          <w:tcPr>
            <w:tcW w:type="dxa" w:w="3969"/>
          </w:tcPr>
          <w:p>
            <w:r/>
            <w:r>
              <w:rPr>
                <w:sz w:val="20"/>
              </w:rPr>
              <w:t>1 PEC (Legalmail) + 1 email ordinaria</w:t>
            </w:r>
          </w:p>
        </w:tc>
        <w:tc>
          <w:tcPr>
            <w:tcW w:type="dxa" w:w="3118"/>
          </w:tcPr>
          <w:p>
            <w:r/>
            <w:r>
              <w:rPr>
                <w:sz w:val="20"/>
              </w:rPr>
              <w:t>Estensibile in futuro a più caselle</w:t>
            </w:r>
          </w:p>
        </w:tc>
      </w:tr>
      <w:tr>
        <w:tc>
          <w:tcPr>
            <w:tcW w:type="dxa" w:w="2551"/>
            <w:shd w:val="clear" w:color="auto" w:fill="F2F5F8"/>
          </w:tcPr>
          <w:p>
            <w:r/>
            <w:r>
              <w:rPr>
                <w:sz w:val="20"/>
              </w:rPr>
              <w:t>10. Pausa ferie / silenziamento</w:t>
            </w:r>
          </w:p>
        </w:tc>
        <w:tc>
          <w:tcPr>
            <w:tcW w:type="dxa" w:w="3969"/>
            <w:shd w:val="clear" w:color="auto" w:fill="F2F5F8"/>
          </w:tcPr>
          <w:p>
            <w:r/>
            <w:r>
              <w:rPr>
                <w:sz w:val="20"/>
              </w:rPr>
              <w:t>Rimandato a iterazione successiva</w:t>
            </w:r>
          </w:p>
        </w:tc>
        <w:tc>
          <w:tcPr>
            <w:tcW w:type="dxa" w:w="3118"/>
            <w:shd w:val="clear" w:color="auto" w:fill="F2F5F8"/>
          </w:tcPr>
          <w:p>
            <w:r/>
            <w:r>
              <w:rPr>
                <w:sz w:val="20"/>
              </w:rPr>
              <w:t>Non incluso in v1</w:t>
            </w:r>
          </w:p>
        </w:tc>
      </w:tr>
    </w:tbl>
    <w:p>
      <w:pPr>
        <w:spacing w:before="200" w:after="80"/>
      </w:pPr>
      <w:r>
        <w:rPr>
          <w:b/>
          <w:color w:val="2D4A6F"/>
          <w:sz w:val="26"/>
        </w:rPr>
        <w:t>Dettaglio decisione 5 — categorie di risposta delle compagnie</w:t>
      </w:r>
    </w:p>
    <w:tbl>
      <w:tblPr>
        <w:tblStyle w:val="LightGrid-Accent1"/>
        <w:tblW w:type="auto" w:w="0"/>
        <w:tblLayout w:type="fixed"/>
        <w:tblLook w:firstColumn="1" w:firstRow="1" w:lastColumn="0" w:lastRow="0" w:noHBand="0" w:noVBand="1" w:val="04A0"/>
      </w:tblPr>
      <w:tblGrid>
        <w:gridCol w:w="454"/>
        <w:gridCol w:w="3118"/>
        <w:gridCol w:w="6066"/>
      </w:tblGrid>
      <w:tr>
        <w:tc>
          <w:tcPr>
            <w:tcW w:type="dxa" w:w="454"/>
            <w:shd w:val="clear" w:color="auto" w:fill="1F3A5F"/>
          </w:tcPr>
          <w:p>
            <w:r/>
            <w:r>
              <w:rPr>
                <w:b/>
                <w:color w:val="FFFFFF"/>
                <w:sz w:val="20"/>
              </w:rPr>
              <w:t>#</w:t>
            </w:r>
          </w:p>
        </w:tc>
        <w:tc>
          <w:tcPr>
            <w:tcW w:type="dxa" w:w="3118"/>
            <w:shd w:val="clear" w:color="auto" w:fill="1F3A5F"/>
          </w:tcPr>
          <w:p>
            <w:r/>
            <w:r>
              <w:rPr>
                <w:b/>
                <w:color w:val="FFFFFF"/>
                <w:sz w:val="20"/>
              </w:rPr>
              <w:t>Categoria</w:t>
            </w:r>
          </w:p>
        </w:tc>
        <w:tc>
          <w:tcPr>
            <w:tcW w:type="dxa" w:w="6066"/>
            <w:shd w:val="clear" w:color="auto" w:fill="1F3A5F"/>
          </w:tcPr>
          <w:p>
            <w:r/>
            <w:r>
              <w:rPr>
                <w:b/>
                <w:color w:val="FFFFFF"/>
                <w:sz w:val="20"/>
              </w:rPr>
              <w:t>Azione tipica</w:t>
            </w:r>
          </w:p>
        </w:tc>
      </w:tr>
      <w:tr>
        <w:tc>
          <w:tcPr>
            <w:tcW w:type="dxa" w:w="454"/>
          </w:tcPr>
          <w:p>
            <w:r/>
            <w:r>
              <w:rPr>
                <w:sz w:val="20"/>
              </w:rPr>
              <w:t>1</w:t>
            </w:r>
          </w:p>
        </w:tc>
        <w:tc>
          <w:tcPr>
            <w:tcW w:type="dxa" w:w="3118"/>
          </w:tcPr>
          <w:p>
            <w:r/>
            <w:r>
              <w:rPr>
                <w:sz w:val="20"/>
              </w:rPr>
              <w:t>Accusa ricezione / pratica aperta</w:t>
            </w:r>
          </w:p>
        </w:tc>
        <w:tc>
          <w:tcPr>
            <w:tcW w:type="dxa" w:w="6066"/>
          </w:tcPr>
          <w:p>
            <w:r/>
            <w:r>
              <w:rPr>
                <w:sz w:val="20"/>
              </w:rPr>
              <w:t>Nessuna, archivia automaticamente</w:t>
            </w:r>
          </w:p>
        </w:tc>
      </w:tr>
      <w:tr>
        <w:tc>
          <w:tcPr>
            <w:tcW w:type="dxa" w:w="454"/>
            <w:shd w:val="clear" w:color="auto" w:fill="F2F5F8"/>
          </w:tcPr>
          <w:p>
            <w:r/>
            <w:r>
              <w:rPr>
                <w:sz w:val="20"/>
              </w:rPr>
              <w:t>2</w:t>
            </w:r>
          </w:p>
        </w:tc>
        <w:tc>
          <w:tcPr>
            <w:tcW w:type="dxa" w:w="3118"/>
            <w:shd w:val="clear" w:color="auto" w:fill="F2F5F8"/>
          </w:tcPr>
          <w:p>
            <w:r/>
            <w:r>
              <w:rPr>
                <w:sz w:val="20"/>
              </w:rPr>
              <w:t>Nomina perito / perizia in corso</w:t>
            </w:r>
          </w:p>
        </w:tc>
        <w:tc>
          <w:tcPr>
            <w:tcW w:type="dxa" w:w="6066"/>
            <w:shd w:val="clear" w:color="auto" w:fill="F2F5F8"/>
          </w:tcPr>
          <w:p>
            <w:r/>
            <w:r>
              <w:rPr>
                <w:sz w:val="20"/>
              </w:rPr>
              <w:t>Aggiorna stato pratica, attesa visita perito</w:t>
            </w:r>
          </w:p>
        </w:tc>
      </w:tr>
      <w:tr>
        <w:tc>
          <w:tcPr>
            <w:tcW w:type="dxa" w:w="454"/>
          </w:tcPr>
          <w:p>
            <w:r/>
            <w:r>
              <w:rPr>
                <w:sz w:val="20"/>
              </w:rPr>
              <w:t>3</w:t>
            </w:r>
          </w:p>
        </w:tc>
        <w:tc>
          <w:tcPr>
            <w:tcW w:type="dxa" w:w="3118"/>
          </w:tcPr>
          <w:p>
            <w:r/>
            <w:r>
              <w:rPr>
                <w:sz w:val="20"/>
              </w:rPr>
              <w:t>Richiesta integrazione documenti</w:t>
            </w:r>
          </w:p>
        </w:tc>
        <w:tc>
          <w:tcPr>
            <w:tcW w:type="dxa" w:w="6066"/>
          </w:tcPr>
          <w:p>
            <w:r/>
            <w:r>
              <w:rPr>
                <w:sz w:val="20"/>
              </w:rPr>
              <w:t>Genera bozza lettera con i documenti richiesti</w:t>
            </w:r>
          </w:p>
        </w:tc>
      </w:tr>
      <w:tr>
        <w:tc>
          <w:tcPr>
            <w:tcW w:type="dxa" w:w="454"/>
            <w:shd w:val="clear" w:color="auto" w:fill="F2F5F8"/>
          </w:tcPr>
          <w:p>
            <w:r/>
            <w:r>
              <w:rPr>
                <w:sz w:val="20"/>
              </w:rPr>
              <w:t>4</w:t>
            </w:r>
          </w:p>
        </w:tc>
        <w:tc>
          <w:tcPr>
            <w:tcW w:type="dxa" w:w="3118"/>
            <w:shd w:val="clear" w:color="auto" w:fill="F2F5F8"/>
          </w:tcPr>
          <w:p>
            <w:r/>
            <w:r>
              <w:rPr>
                <w:sz w:val="20"/>
              </w:rPr>
              <w:t>Proposta di liquidazione</w:t>
            </w:r>
          </w:p>
        </w:tc>
        <w:tc>
          <w:tcPr>
            <w:tcW w:type="dxa" w:w="6066"/>
            <w:shd w:val="clear" w:color="auto" w:fill="F2F5F8"/>
          </w:tcPr>
          <w:p>
            <w:r/>
            <w:r>
              <w:rPr>
                <w:sz w:val="20"/>
              </w:rPr>
              <w:t>Push + email con importo proposto, decisione operatore</w:t>
            </w:r>
          </w:p>
        </w:tc>
      </w:tr>
      <w:tr>
        <w:tc>
          <w:tcPr>
            <w:tcW w:type="dxa" w:w="454"/>
          </w:tcPr>
          <w:p>
            <w:r/>
            <w:r>
              <w:rPr>
                <w:sz w:val="20"/>
              </w:rPr>
              <w:t>5</w:t>
            </w:r>
          </w:p>
        </w:tc>
        <w:tc>
          <w:tcPr>
            <w:tcW w:type="dxa" w:w="3118"/>
          </w:tcPr>
          <w:p>
            <w:r/>
            <w:r>
              <w:rPr>
                <w:sz w:val="20"/>
              </w:rPr>
              <w:t>Contraddittorio peritale</w:t>
            </w:r>
          </w:p>
        </w:tc>
        <w:tc>
          <w:tcPr>
            <w:tcW w:type="dxa" w:w="6066"/>
          </w:tcPr>
          <w:p>
            <w:r/>
            <w:r>
              <w:rPr>
                <w:sz w:val="20"/>
              </w:rPr>
              <w:t>Push + bozza richiesta perizia contraddittoria</w:t>
            </w:r>
          </w:p>
        </w:tc>
      </w:tr>
      <w:tr>
        <w:tc>
          <w:tcPr>
            <w:tcW w:type="dxa" w:w="454"/>
            <w:shd w:val="clear" w:color="auto" w:fill="F2F5F8"/>
          </w:tcPr>
          <w:p>
            <w:r/>
            <w:r>
              <w:rPr>
                <w:sz w:val="20"/>
              </w:rPr>
              <w:t>6</w:t>
            </w:r>
          </w:p>
        </w:tc>
        <w:tc>
          <w:tcPr>
            <w:tcW w:type="dxa" w:w="3118"/>
            <w:shd w:val="clear" w:color="auto" w:fill="F2F5F8"/>
          </w:tcPr>
          <w:p>
            <w:r/>
            <w:r>
              <w:rPr>
                <w:sz w:val="20"/>
              </w:rPr>
              <w:t>Rifiuto / non copertura</w:t>
            </w:r>
          </w:p>
        </w:tc>
        <w:tc>
          <w:tcPr>
            <w:tcW w:type="dxa" w:w="6066"/>
            <w:shd w:val="clear" w:color="auto" w:fill="F2F5F8"/>
          </w:tcPr>
          <w:p>
            <w:r/>
            <w:r>
              <w:rPr>
                <w:sz w:val="20"/>
              </w:rPr>
              <w:t>Push + bozza replica argomentata</w:t>
            </w:r>
          </w:p>
        </w:tc>
      </w:tr>
      <w:tr>
        <w:tc>
          <w:tcPr>
            <w:tcW w:type="dxa" w:w="454"/>
          </w:tcPr>
          <w:p>
            <w:r/>
            <w:r>
              <w:rPr>
                <w:sz w:val="20"/>
              </w:rPr>
              <w:t>7</w:t>
            </w:r>
          </w:p>
        </w:tc>
        <w:tc>
          <w:tcPr>
            <w:tcW w:type="dxa" w:w="3118"/>
          </w:tcPr>
          <w:p>
            <w:r/>
            <w:r>
              <w:rPr>
                <w:sz w:val="20"/>
              </w:rPr>
              <w:t>Informativa / chiusura</w:t>
            </w:r>
          </w:p>
        </w:tc>
        <w:tc>
          <w:tcPr>
            <w:tcW w:type="dxa" w:w="6066"/>
          </w:tcPr>
          <w:p>
            <w:r/>
            <w:r>
              <w:rPr>
                <w:sz w:val="20"/>
              </w:rPr>
              <w:t>Archivia, badge inbox senza alert</w:t>
            </w:r>
          </w:p>
        </w:tc>
      </w:tr>
      <w:tr>
        <w:tc>
          <w:tcPr>
            <w:tcW w:type="dxa" w:w="454"/>
            <w:shd w:val="clear" w:color="auto" w:fill="F2F5F8"/>
          </w:tcPr>
          <w:p>
            <w:r/>
            <w:r>
              <w:rPr>
                <w:sz w:val="20"/>
              </w:rPr>
              <w:t>8</w:t>
            </w:r>
          </w:p>
        </w:tc>
        <w:tc>
          <w:tcPr>
            <w:tcW w:type="dxa" w:w="3118"/>
            <w:shd w:val="clear" w:color="auto" w:fill="F2F5F8"/>
          </w:tcPr>
          <w:p>
            <w:r/>
            <w:r>
              <w:rPr>
                <w:sz w:val="20"/>
              </w:rPr>
              <w:t>Non classificabile</w:t>
            </w:r>
          </w:p>
        </w:tc>
        <w:tc>
          <w:tcPr>
            <w:tcW w:type="dxa" w:w="6066"/>
            <w:shd w:val="clear" w:color="auto" w:fill="F2F5F8"/>
          </w:tcPr>
          <w:p>
            <w:r/>
            <w:r>
              <w:rPr>
                <w:sz w:val="20"/>
              </w:rPr>
              <w:t>Alert 'richiede attenzione umana', smistamento manuale</w:t>
            </w:r>
          </w:p>
        </w:tc>
      </w:tr>
    </w:tbl>
    <w:p>
      <w:pPr>
        <w:spacing w:before="200" w:after="80"/>
      </w:pPr>
      <w:r>
        <w:rPr>
          <w:b/>
          <w:color w:val="2D4A6F"/>
          <w:sz w:val="26"/>
        </w:rPr>
        <w:t>Dettaglio decisione 6 — anonimizzazione aggressiva</w:t>
      </w:r>
    </w:p>
    <w:p>
      <w:r>
        <w:t xml:space="preserve">Prima di inviare il testo di un messaggio all'API di Claude per la classificazione, l'app sostituisce con segnaposto tutti i seguenti campi: </w:t>
      </w:r>
    </w:p>
    <w:p>
      <w:pPr>
        <w:pStyle w:val="ListBullet"/>
        <w:ind w:left="454"/>
      </w:pPr>
      <w:r>
        <w:t>nome, cognome, ragione sociale</w:t>
      </w:r>
    </w:p>
    <w:p>
      <w:pPr>
        <w:pStyle w:val="ListBullet"/>
        <w:ind w:left="454"/>
      </w:pPr>
      <w:r>
        <w:t>codice fiscale e partita IVA</w:t>
      </w:r>
    </w:p>
    <w:p>
      <w:pPr>
        <w:pStyle w:val="ListBullet"/>
        <w:ind w:left="454"/>
      </w:pPr>
      <w:r>
        <w:t>indirizzo, città, CAP, provincia</w:t>
      </w:r>
    </w:p>
    <w:p>
      <w:pPr>
        <w:pStyle w:val="ListBullet"/>
        <w:ind w:left="454"/>
      </w:pPr>
      <w:r>
        <w:t>targa veicolo</w:t>
      </w:r>
    </w:p>
    <w:p>
      <w:pPr>
        <w:pStyle w:val="ListBullet"/>
        <w:ind w:left="454"/>
      </w:pPr>
      <w:r>
        <w:t>numero di telefono e cellulare</w:t>
      </w:r>
    </w:p>
    <w:p>
      <w:pPr>
        <w:pStyle w:val="ListBullet"/>
        <w:ind w:left="454"/>
      </w:pPr>
      <w:r>
        <w:t>indirizzo email</w:t>
      </w:r>
    </w:p>
    <w:p>
      <w:r>
        <w:t>I segnaposto seguono lo schema [CLIENTE_NOME], [CF], [INDIRIZZO], [TARGA], ecc. La mappa originale→segnaposto è memorizzata solo in locale e usata per ricomporre il messaggio quando viene mostrato all'operatore. Anthropic vede solo testo anonimizzato; il file .eml originale resta sul filesystem aziendale.</w:t>
      </w:r>
    </w:p>
    <w:p>
      <w:pPr>
        <w:spacing w:before="200" w:after="80"/>
      </w:pPr>
      <w:r>
        <w:rPr>
          <w:b/>
          <w:color w:val="2D4A6F"/>
          <w:sz w:val="26"/>
        </w:rPr>
        <w:t>Storico modifiche</w:t>
      </w:r>
    </w:p>
    <w:tbl>
      <w:tblPr>
        <w:tblStyle w:val="LightGrid-Accent1"/>
        <w:tblW w:type="auto" w:w="0"/>
        <w:tblLayout w:type="fixed"/>
        <w:tblLook w:firstColumn="1" w:firstRow="1" w:lastColumn="0" w:lastRow="0" w:noHBand="0" w:noVBand="1" w:val="04A0"/>
      </w:tblPr>
      <w:tblGrid>
        <w:gridCol w:w="1417"/>
        <w:gridCol w:w="3969"/>
        <w:gridCol w:w="4252"/>
      </w:tblGrid>
      <w:tr>
        <w:tc>
          <w:tcPr>
            <w:tcW w:type="dxa" w:w="1417"/>
            <w:shd w:val="clear" w:color="auto" w:fill="1F3A5F"/>
          </w:tcPr>
          <w:p>
            <w:r/>
            <w:r>
              <w:rPr>
                <w:b/>
                <w:color w:val="FFFFFF"/>
                <w:sz w:val="20"/>
              </w:rPr>
              <w:t>Data</w:t>
            </w:r>
          </w:p>
        </w:tc>
        <w:tc>
          <w:tcPr>
            <w:tcW w:type="dxa" w:w="3969"/>
            <w:shd w:val="clear" w:color="auto" w:fill="1F3A5F"/>
          </w:tcPr>
          <w:p>
            <w:r/>
            <w:r>
              <w:rPr>
                <w:b/>
                <w:color w:val="FFFFFF"/>
                <w:sz w:val="20"/>
              </w:rPr>
              <w:t>Decisione</w:t>
            </w:r>
          </w:p>
        </w:tc>
        <w:tc>
          <w:tcPr>
            <w:tcW w:type="dxa" w:w="4252"/>
            <w:shd w:val="clear" w:color="auto" w:fill="1F3A5F"/>
          </w:tcPr>
          <w:p>
            <w:r/>
            <w:r>
              <w:rPr>
                <w:b/>
                <w:color w:val="FFFFFF"/>
                <w:sz w:val="20"/>
              </w:rPr>
              <w:t>Motivazione</w:t>
            </w:r>
          </w:p>
        </w:tc>
      </w:tr>
      <w:tr>
        <w:tc>
          <w:tcPr>
            <w:tcW w:type="dxa" w:w="1417"/>
          </w:tcPr>
          <w:p>
            <w:r/>
            <w:r>
              <w:rPr>
                <w:sz w:val="20"/>
              </w:rPr>
              <w:t>2026-05-13</w:t>
            </w:r>
          </w:p>
        </w:tc>
        <w:tc>
          <w:tcPr>
            <w:tcW w:type="dxa" w:w="3969"/>
          </w:tcPr>
          <w:p>
            <w:r/>
            <w:r>
              <w:rPr>
                <w:sz w:val="20"/>
              </w:rPr>
              <w:t>Versione iniziale — decisioni 1-10 finalizzate</w:t>
            </w:r>
          </w:p>
        </w:tc>
        <w:tc>
          <w:tcPr>
            <w:tcW w:type="dxa" w:w="4252"/>
          </w:tcPr>
          <w:p>
            <w:r/>
            <w:r>
              <w:rPr>
                <w:sz w:val="20"/>
              </w:rPr>
              <w:t>Approvazione utente in chat</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