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center"/>
      </w:pPr>
      <w:r>
        <w:rPr>
          <w:rFonts w:ascii="Times New Roman" w:hAnsi="Times New Roman"/>
          <w:sz w:val="24"/>
        </w:rPr>
        <w:t>Insper</w:t>
      </w:r>
    </w:p>
    <w:p>
      <w:pPr>
        <w:spacing w:line="240" w:lineRule="auto" w:before="0" w:after="0"/>
        <w:jc w:val="center"/>
      </w:pPr>
      <w:r>
        <w:rPr>
          <w:rFonts w:ascii="Times New Roman" w:hAnsi="Times New Roman"/>
          <w:sz w:val="24"/>
        </w:rPr>
        <w:t>Graduação em Economia</w:t>
      </w:r>
    </w:p>
    <w:p>
      <w:pPr>
        <w:spacing w:line="240" w:lineRule="auto" w:before="0" w:after="0"/>
        <w:jc w:val="center"/>
      </w:pPr>
      <w:r>
        <w:rPr>
          <w:rFonts w:ascii="Times New Roman" w:hAnsi="Times New Roman"/>
          <w:sz w:val="24"/>
        </w:rPr>
        <w:t>Nome do Aluno</w:t>
      </w:r>
    </w:p>
    <w:p>
      <w:pPr>
        <w:spacing w:line="240" w:lineRule="auto" w:before="0" w:after="0"/>
        <w:jc w:val="center"/>
      </w:pPr>
      <w:r>
        <w:rPr>
          <w:rFonts w:ascii="Times New Roman" w:hAnsi="Times New Roman"/>
          <w:sz w:val="24"/>
        </w:rPr>
        <w:t>Instituições e desenvolvimento: evidências para os estados brasileiros</w:t>
      </w:r>
    </w:p>
    <w:p>
      <w:pPr>
        <w:spacing w:line="240" w:lineRule="auto" w:before="0" w:after="0"/>
        <w:jc w:val="center"/>
      </w:pPr>
      <w:r>
        <w:rPr>
          <w:rFonts w:ascii="Times New Roman" w:hAnsi="Times New Roman"/>
          <w:sz w:val="24"/>
        </w:rPr>
        <w:t>São Paulo</w:t>
      </w:r>
    </w:p>
    <w:p>
      <w:pPr>
        <w:spacing w:line="240" w:lineRule="auto" w:before="0" w:after="0"/>
        <w:jc w:val="center"/>
      </w:pPr>
      <w:r>
        <w:rPr>
          <w:rFonts w:ascii="Times New Roman" w:hAnsi="Times New Roman"/>
          <w:sz w:val="24"/>
        </w:rPr>
        <w:t>2026</w:t>
      </w:r>
    </w:p>
    <w:p>
      <w:r>
        <w:br w:type="page"/>
      </w:r>
    </w:p>
    <w:p>
      <w:pPr>
        <w:spacing w:line="240" w:lineRule="auto" w:before="0" w:after="0"/>
        <w:jc w:val="center"/>
      </w:pPr>
      <w:r>
        <w:rPr>
          <w:rFonts w:ascii="Times New Roman" w:hAnsi="Times New Roman"/>
          <w:sz w:val="24"/>
        </w:rPr>
        <w:t>Nome do Aluno</w:t>
      </w:r>
    </w:p>
    <w:p>
      <w:pPr>
        <w:spacing w:line="240" w:lineRule="auto" w:before="0" w:after="0"/>
        <w:jc w:val="center"/>
      </w:pPr>
      <w:r>
        <w:rPr>
          <w:rFonts w:ascii="Times New Roman" w:hAnsi="Times New Roman"/>
          <w:sz w:val="24"/>
        </w:rPr>
        <w:t>Instituições e desenvolvimento: evidências para os estados brasileiros</w:t>
      </w:r>
    </w:p>
    <w:p>
      <w:pPr>
        <w:spacing w:line="240" w:lineRule="auto" w:before="0" w:after="0"/>
        <w:ind w:left="3969"/>
        <w:jc w:val="both"/>
      </w:pPr>
      <w:r>
        <w:rPr>
          <w:rFonts w:ascii="Times New Roman" w:hAnsi="Times New Roman"/>
          <w:sz w:val="24"/>
        </w:rPr>
        <w:t>Trabalho de Conclusão de Curso apresentado ao programa de Graduação em Economia como requisito parcial para a obtenção do título de Bacharel em Economia.</w:t>
      </w:r>
    </w:p>
    <w:p>
      <w:pPr>
        <w:spacing w:line="240" w:lineRule="auto" w:before="0" w:after="0"/>
        <w:ind w:left="3969"/>
        <w:jc w:val="both"/>
      </w:pPr>
      <w:r>
        <w:rPr>
          <w:rFonts w:ascii="Times New Roman" w:hAnsi="Times New Roman"/>
          <w:sz w:val="24"/>
        </w:rPr>
        <w:t>Orientador: Prof. Dr. Nome do Orientador</w:t>
      </w:r>
    </w:p>
    <w:p>
      <w:pPr>
        <w:spacing w:line="240" w:lineRule="auto" w:before="0" w:after="0"/>
        <w:jc w:val="center"/>
      </w:pPr>
      <w:r>
        <w:rPr>
          <w:rFonts w:ascii="Times New Roman" w:hAnsi="Times New Roman"/>
          <w:sz w:val="24"/>
        </w:rPr>
        <w:t>São Paulo</w:t>
      </w:r>
    </w:p>
    <w:p>
      <w:pPr>
        <w:spacing w:line="240" w:lineRule="auto" w:before="0" w:after="0"/>
        <w:jc w:val="center"/>
      </w:pPr>
      <w:r>
        <w:rPr>
          <w:rFonts w:ascii="Times New Roman" w:hAnsi="Times New Roman"/>
          <w:sz w:val="24"/>
        </w:rPr>
        <w:t>2026</w:t>
      </w:r>
    </w:p>
    <w:p>
      <w:r>
        <w:br w:type="page"/>
      </w:r>
    </w:p>
    <w:p>
      <w:pPr>
        <w:spacing w:line="240" w:lineRule="auto" w:before="0" w:after="0"/>
        <w:jc w:val="center"/>
      </w:pPr>
      <w:r>
        <w:rPr>
          <w:rFonts w:ascii="Times New Roman" w:hAnsi="Times New Roman"/>
          <w:sz w:val="24"/>
        </w:rPr>
        <w:t>Banca Examinadora</w:t>
      </w:r>
    </w:p>
    <w:p>
      <w:r>
        <w:br w:type="page"/>
      </w:r>
    </w:p>
    <w:p>
      <w:pPr>
        <w:spacing w:line="240" w:lineRule="auto" w:before="0" w:after="0"/>
        <w:jc w:val="center"/>
      </w:pPr>
      <w:r>
        <w:rPr>
          <w:rFonts w:ascii="Times New Roman" w:hAnsi="Times New Roman"/>
          <w:sz w:val="24"/>
        </w:rPr>
        <w:t>Resumo</w:t>
      </w:r>
    </w:p>
    <w:p>
      <w:pPr>
        <w:spacing w:line="360" w:lineRule="auto" w:before="0" w:after="0"/>
        <w:jc w:val="both"/>
      </w:pPr>
      <w:r>
        <w:rPr>
          <w:rFonts w:ascii="Times New Roman" w:hAnsi="Times New Roman"/>
          <w:sz w:val="24"/>
        </w:rPr>
        <w:t>Este trabalho investiga a relação entre instituições políticas e desenvolvimento econômico no Brasil entre 1990 e 2020. O objetivo é avaliar se a qualidade das instituições ajuda a explicar diferenças persistentes de renda entre os estados brasileiros. A metodologia combina uma revisão da literatura sobre instituições inclusivas e extrativas com uma análise empírica de painel, que usa dados estaduais de renda, escolaridade e indicadores de governança. Os resultados indicam que estados com instituições mais inclusivas apresentam taxas de crescimento maiores, mesmo após controlar por capital humano e por características geográficas. A análise também mostra que o efeito das instituições é mais forte no longo prazo e que choques transitórios de renda não alteram a trajetória dos estados com instituições frágeis. Conclui-se que políticas voltadas ao fortalecimento institucional podem ter efeitos duradouros sobre o desenvolvimento regional, embora a evidência dependa da forma como a qualidade institucional é medida e da disponibilidade de dados comparáveis entre os estados ao longo de todo o período.</w:t>
      </w:r>
    </w:p>
    <w:p>
      <w:pPr>
        <w:spacing w:line="360" w:lineRule="auto" w:before="240" w:after="0"/>
        <w:jc w:val="both"/>
      </w:pPr>
      <w:r>
        <w:rPr>
          <w:rFonts w:ascii="Times New Roman" w:hAnsi="Times New Roman"/>
          <w:sz w:val="24"/>
        </w:rPr>
        <w:t>Palavras-chave: instituições; desenvolvimento econômico; estados brasileiros.</w:t>
      </w:r>
    </w:p>
    <w:p>
      <w:r>
        <w:br w:type="page"/>
      </w:r>
    </w:p>
    <w:p>
      <w:pPr>
        <w:spacing w:line="240" w:lineRule="auto" w:before="0" w:after="0"/>
        <w:jc w:val="center"/>
      </w:pPr>
      <w:r>
        <w:rPr>
          <w:rFonts w:ascii="Times New Roman" w:hAnsi="Times New Roman"/>
          <w:sz w:val="24"/>
        </w:rPr>
        <w:t>Abstract</w:t>
      </w:r>
    </w:p>
    <w:p>
      <w:pPr>
        <w:spacing w:line="360" w:lineRule="auto" w:before="0" w:after="0"/>
        <w:jc w:val="both"/>
      </w:pPr>
      <w:r>
        <w:rPr>
          <w:rFonts w:ascii="Times New Roman" w:hAnsi="Times New Roman"/>
          <w:sz w:val="24"/>
        </w:rPr>
        <w:t>This study investigates the relationship between political institutions and economic development in Brazil between 1990 and 2020. It asks whether institutional quality helps explain persistent income differences across Brazilian states. The method combines a review of the literature on inclusive and extractive institutions with an empirical panel analysis based on state-level data on income, schooling and governance indicators. The results show that states with more inclusive institutions grow faster, even after controlling for human capital and geography. The analysis also shows that the institutional effect is stronger in the long run and that transitory income shocks do not change the path of states with weak institutions. We conclude that policies aimed at institutional strengthening can have lasting effects on regional development, although the evidence depends on how institutional quality is measured and on the availability of comparable data for all states over the whole period. Further research should test these results with municipal data.</w:t>
      </w:r>
    </w:p>
    <w:p>
      <w:pPr>
        <w:spacing w:line="360" w:lineRule="auto" w:before="240" w:after="0"/>
        <w:jc w:val="both"/>
      </w:pPr>
      <w:r>
        <w:rPr>
          <w:rFonts w:ascii="Times New Roman" w:hAnsi="Times New Roman"/>
          <w:sz w:val="24"/>
        </w:rPr>
        <w:t>Keywords: institutions; economic development; Brazilian states.</w:t>
      </w:r>
    </w:p>
    <w:p>
      <w:r>
        <w:br w:type="page"/>
      </w:r>
    </w:p>
    <w:p>
      <w:pPr>
        <w:spacing w:line="240" w:lineRule="auto" w:before="0" w:after="0"/>
        <w:jc w:val="center"/>
      </w:pPr>
      <w:r>
        <w:rPr>
          <w:rFonts w:ascii="Times New Roman" w:hAnsi="Times New Roman"/>
          <w:sz w:val="24"/>
        </w:rPr>
        <w:t>Sumário</w:t>
      </w:r>
    </w:p>
    <w:p>
      <w:pPr>
        <w:spacing w:line="360" w:lineRule="auto" w:before="0" w:after="0"/>
        <w:jc w:val="left"/>
      </w:pPr>
      <w:r>
        <w:rPr>
          <w:rFonts w:ascii="Times New Roman" w:hAnsi="Times New Roman"/>
          <w:sz w:val="24"/>
        </w:rPr>
        <w:t>1</w:t>
        <w:tab/>
        <w:t>INTRODUÇÃO</w:t>
        <w:tab/>
        <w:t>5</w:t>
      </w:r>
    </w:p>
    <w:p>
      <w:pPr>
        <w:spacing w:line="360" w:lineRule="auto" w:before="0" w:after="0"/>
        <w:jc w:val="left"/>
      </w:pPr>
      <w:r>
        <w:rPr>
          <w:rFonts w:ascii="Times New Roman" w:hAnsi="Times New Roman"/>
          <w:sz w:val="24"/>
        </w:rPr>
        <w:t>2</w:t>
        <w:tab/>
        <w:t>REFERENCIAL TEÓRICO</w:t>
        <w:tab/>
        <w:t>6</w:t>
      </w:r>
    </w:p>
    <w:p>
      <w:pPr>
        <w:spacing w:line="360" w:lineRule="auto" w:before="0" w:after="0"/>
        <w:jc w:val="left"/>
      </w:pPr>
      <w:r>
        <w:rPr>
          <w:rFonts w:ascii="Times New Roman" w:hAnsi="Times New Roman"/>
          <w:sz w:val="24"/>
        </w:rPr>
        <w:tab/>
        <w:t>CONSIDERAÇÕES FINAIS</w:t>
        <w:tab/>
        <w:t>7</w:t>
      </w:r>
    </w:p>
    <w:p>
      <w:pPr>
        <w:spacing w:line="360" w:lineRule="auto" w:before="0" w:after="0"/>
        <w:jc w:val="left"/>
      </w:pPr>
      <w:r>
        <w:rPr>
          <w:rFonts w:ascii="Times New Roman" w:hAnsi="Times New Roman"/>
          <w:sz w:val="24"/>
        </w:rPr>
        <w:tab/>
        <w:t>REFERÊNCIAS</w:t>
        <w:tab/>
        <w:t>8</w:t>
      </w:r>
    </w:p>
    <w:p>
      <w:pPr>
        <w:sectPr>
          <w:pgSz w:w="11906" w:h="16838"/>
          <w:pgMar w:top="1701" w:right="1134" w:bottom="1134" w:left="1701" w:header="720" w:footer="720" w:gutter="0"/>
          <w:cols w:space="720"/>
          <w:docGrid w:linePitch="360"/>
        </w:sectPr>
      </w:pPr>
    </w:p>
    <w:p>
      <w:pPr>
        <w:pStyle w:val="Heading1"/>
        <w:spacing w:line="360" w:lineRule="auto" w:before="0" w:after="0"/>
        <w:jc w:val="left"/>
      </w:pPr>
      <w:r>
        <w:rPr>
          <w:rFonts w:ascii="Times New Roman" w:hAnsi="Times New Roman"/>
          <w:sz w:val="24"/>
        </w:rPr>
        <w:t>1 INTRODUÇÃO</w:t>
      </w:r>
    </w:p>
    <w:p>
      <w:pPr>
        <w:spacing w:line="360" w:lineRule="auto" w:before="0" w:after="0"/>
        <w:ind w:firstLine="709"/>
        <w:jc w:val="both"/>
      </w:pPr>
      <w:r>
        <w:rPr>
          <w:rFonts w:ascii="Times New Roman" w:hAnsi="Times New Roman"/>
          <w:sz w:val="24"/>
        </w:rPr>
        <w:t>Segundo Acemoglu e Robinson (2012), as nações fracassam quando suas instituições econômicas e políticas são extrativas. A literatura empírica reforça esse argumento ao mostrar que a origem colonial das instituições tem efeito duradouro sobre a renda (Acemoglu; Johnson; Robinson, 2001, p. 1370).</w:t>
      </w:r>
    </w:p>
    <w:p>
      <w:pPr>
        <w:pStyle w:val="Heading1"/>
        <w:spacing w:line="360" w:lineRule="auto" w:before="0" w:after="0"/>
        <w:jc w:val="left"/>
      </w:pPr>
      <w:r>
        <w:rPr>
          <w:rFonts w:ascii="Times New Roman" w:hAnsi="Times New Roman"/>
          <w:sz w:val="24"/>
        </w:rPr>
        <w:t>2 REFERENCIAL TEÓRICO</w:t>
      </w:r>
    </w:p>
    <w:p>
      <w:pPr>
        <w:spacing w:line="360" w:lineRule="auto" w:before="0" w:after="0"/>
        <w:ind w:firstLine="709"/>
        <w:jc w:val="both"/>
      </w:pPr>
      <w:r>
        <w:rPr>
          <w:rFonts w:ascii="Times New Roman" w:hAnsi="Times New Roman"/>
          <w:sz w:val="24"/>
        </w:rPr>
        <w:t>A abordagem institucional parte da definição de North (1990), para quem as instituições são as regras do jogo em uma sociedade. Essas regras moldam incentivos e, por consequência, as decisões de investimento, inovação e acumulação de capital ao longo do tempo.</w:t>
      </w:r>
    </w:p>
    <w:p>
      <w:pPr>
        <w:spacing w:line="240" w:lineRule="auto" w:before="0" w:after="0"/>
        <w:ind w:left="2268"/>
        <w:jc w:val="both"/>
      </w:pPr>
      <w:r>
        <w:rPr>
          <w:rFonts w:ascii="Times New Roman" w:hAnsi="Times New Roman"/>
          <w:sz w:val="20"/>
        </w:rPr>
        <w:t>As instituições são as regras do jogo em uma sociedade ou, mais formalmente, são as restrições concebidas pelos homens que dão forma à interação humana. Em consequência, estruturam incentivos no intercâmbio humano, seja ele político, social ou econômico (North, 1990, p. 3).</w:t>
      </w:r>
    </w:p>
    <w:p>
      <w:pPr>
        <w:spacing w:line="240" w:lineRule="auto" w:before="0" w:after="0"/>
        <w:jc w:val="left"/>
      </w:pPr>
      <w:r>
        <w:rPr>
          <w:rFonts w:ascii="Times New Roman" w:hAnsi="Times New Roman"/>
          <w:sz w:val="24"/>
        </w:rPr>
        <w:t>Figura 1 - Renda per capita e qualidade institucional</w:t>
      </w:r>
    </w:p>
    <w:p>
      <w:pPr>
        <w:spacing w:line="240" w:lineRule="auto" w:before="0" w:after="0"/>
        <w:jc w:val="left"/>
      </w:pPr>
      <w:r>
        <w:rPr>
          <w:rFonts w:ascii="Times New Roman" w:hAnsi="Times New Roman"/>
          <w:sz w:val="20"/>
        </w:rPr>
        <w:t>Fonte: Elaborado pelo autor.</w:t>
      </w:r>
    </w:p>
    <w:p>
      <w:pPr>
        <w:pStyle w:val="Heading1"/>
        <w:spacing w:line="360" w:lineRule="auto" w:before="0" w:after="0"/>
        <w:jc w:val="left"/>
      </w:pPr>
      <w:r>
        <w:rPr>
          <w:rFonts w:ascii="Times New Roman" w:hAnsi="Times New Roman"/>
          <w:sz w:val="24"/>
        </w:rPr>
        <w:t>CONSIDERAÇÕES FINAIS</w:t>
      </w:r>
    </w:p>
    <w:p>
      <w:pPr>
        <w:spacing w:line="360" w:lineRule="auto" w:before="0" w:after="0"/>
        <w:ind w:firstLine="709"/>
        <w:jc w:val="both"/>
      </w:pPr>
      <w:r>
        <w:rPr>
          <w:rFonts w:ascii="Times New Roman" w:hAnsi="Times New Roman"/>
          <w:sz w:val="24"/>
        </w:rPr>
        <w:t>As evidências reunidas indicam que a qualidade das instituições é um determinante relevante do desenvolvimento dos estados brasileiros no longo prazo.</w:t>
      </w:r>
    </w:p>
    <w:p>
      <w:r>
        <w:br w:type="page"/>
      </w:r>
    </w:p>
    <w:p>
      <w:pPr>
        <w:spacing w:line="240" w:lineRule="auto" w:before="0" w:after="0"/>
        <w:jc w:val="center"/>
      </w:pPr>
      <w:r>
        <w:rPr>
          <w:rFonts w:ascii="Times New Roman" w:hAnsi="Times New Roman"/>
          <w:sz w:val="24"/>
        </w:rPr>
        <w:t>Referências</w:t>
      </w:r>
    </w:p>
    <w:p>
      <w:pPr>
        <w:spacing w:line="240" w:lineRule="auto" w:before="0" w:after="240"/>
        <w:jc w:val="left"/>
      </w:pPr>
      <w:r>
        <w:rPr>
          <w:rFonts w:ascii="Times New Roman" w:hAnsi="Times New Roman"/>
          <w:sz w:val="24"/>
        </w:rPr>
        <w:t>ACEMOGLU, Daron; JOHNSON, Simon; ROBINSON, James A. The colonial origins of comparative development: an empirical investigation. American Economic Review, v. 91, n. 5, p. 1369-1401, 2001. DOI: 10.1257/aer.91.5.1369.</w:t>
      </w:r>
    </w:p>
    <w:p>
      <w:pPr>
        <w:spacing w:line="240" w:lineRule="auto" w:before="0" w:after="240"/>
        <w:jc w:val="left"/>
      </w:pPr>
      <w:r>
        <w:rPr>
          <w:rFonts w:ascii="Times New Roman" w:hAnsi="Times New Roman"/>
          <w:sz w:val="24"/>
        </w:rPr>
        <w:t>ACEMOGLU, Daron; ROBINSON, James A. Why nations fail: the origins of power, prosperity, and poverty. New York: Crown Business, 2012.</w:t>
      </w:r>
    </w:p>
    <w:p>
      <w:pPr>
        <w:spacing w:line="240" w:lineRule="auto" w:before="0" w:after="240"/>
        <w:jc w:val="left"/>
      </w:pPr>
      <w:r>
        <w:rPr>
          <w:rFonts w:ascii="Times New Roman" w:hAnsi="Times New Roman"/>
          <w:sz w:val="24"/>
        </w:rPr>
        <w:t>NORTH, Douglass C. Institutions, institutional change and economic performance. Cambridge: Cambridge University Press, 1990.</w:t>
      </w:r>
    </w:p>
    <w:sectPr w:rsidR="00FC693F" w:rsidRPr="0006063C" w:rsidSect="00034616">
      <w:headerReference w:type="default" r:id="rId9"/>
      <w:pgSz w:w="11906" w:h="16838"/>
      <w:pgMar w:top="1701" w:right="1134" w:bottom="1134" w:left="1701" w:header="720" w:footer="720" w:gutter="0"/>
      <w:cols w:space="720"/>
      <w:docGrid w:linePitch="360"/>
      <w:pgNumType w:start="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fldSimple w:instr=" PAGE ">
      <w:r>
        <w:rPr>
          <w:sz w:val="20"/>
        </w:rPr>
        <w:t>1</w:t>
      </w:r>
    </w:fldSimpl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outlineLvl w:val="0"/>
    </w:pPr>
    <w:rPr>
      <w:rFonts w:asciiTheme="majorHAnsi" w:eastAsiaTheme="majorEastAsia" w:hAnsiTheme="majorHAnsi" w:cstheme="majorBidi" w:ascii="Times New Roman" w:hAnsi="Times New Roman"/>
      <w:b/>
      <w:bCs/>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