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51C2E"/>
          <w:sz w:val="26"/>
        </w:rPr>
        <w:t>SEA  ·  INNOVA</w:t>
      </w:r>
    </w:p>
    <w:p>
      <w:r>
        <w:rPr>
          <w:b/>
          <w:color w:val="0EA5C9"/>
          <w:sz w:val="16"/>
        </w:rPr>
        <w:t>MARINE IoT &amp; BLUE ECONOMY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957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maddalen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7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color w:val="051C2E"/>
          <w:sz w:val="88"/>
        </w:rPr>
        <w:t>Business Plan</w:t>
      </w:r>
    </w:p>
    <w:p>
      <w:r>
        <w:rPr>
          <w:color w:val="0EA5C9"/>
          <w:sz w:val="56"/>
        </w:rPr>
        <w:t>2027 — 2032</w:t>
      </w:r>
    </w:p>
    <w:p>
      <w:r>
        <w:rPr>
          <w:color w:val="0D4A72"/>
          <w:sz w:val="26"/>
        </w:rPr>
        <w:t>Sistema Boe Ormeggio Intelligenti — Linea Betty Buoys</w:t>
      </w:r>
    </w:p>
    <w:p>
      <w:r>
        <w:rPr>
          <w:color w:val="5E7282"/>
          <w:sz w:val="22"/>
        </w:rPr>
        <w:t>Piattaforma B2B NaviGoo24 / PUCK App</w:t>
      </w:r>
    </w:p>
    <w:p>
      <w:r>
        <w:rPr>
          <w:b/>
          <w:color w:val="C0392B"/>
          <w:sz w:val="26"/>
        </w:rPr>
        <w:t xml:space="preserve">VERSIONE 3.0  </w:t>
      </w:r>
      <w:r>
        <w:rPr>
          <w:color w:val="5E7282"/>
          <w:sz w:val="20"/>
        </w:rPr>
        <w:t>— Relazione di accompagnamento al modello finanziario</w:t>
      </w:r>
    </w:p>
    <w:p>
      <w:r>
        <w:rPr>
          <w:i/>
          <w:color w:val="5E7282"/>
          <w:sz w:val="18"/>
        </w:rPr>
        <w:t>Seainnova S.r.l. — La Maddalena (SS), Sardegna</w:t>
      </w:r>
    </w:p>
    <w:p>
      <w:r>
        <w:br w:type="page"/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  <w:bookmarkStart w:id="43" w:name="X0914df0ada170690bb41ed58054bd46aae2327a"/>
    <w:p>
      <w:pPr>
        <w:pStyle w:val="Heading1"/>
      </w:pPr>
      <w:r>
        <w:t xml:space="preserve">Relazione di accompagnamento al Business Plan</w:t>
      </w:r>
    </w:p>
    <w:bookmarkStart w:id="21" w:name="X0caaf64e5c96e8501aa68c183cfc6bd7128678b"/>
    <w:p>
      <w:pPr>
        <w:pStyle w:val="Heading2"/>
      </w:pPr>
      <w:r>
        <w:t xml:space="preserve">Seainnova S.r.l. — Boe per l’Ormeggio Intelligenti</w:t>
      </w:r>
    </w:p>
    <w:bookmarkStart w:id="20" w:name="X7fd1ce3c8bfa55bd06f2bd0e3b7bc6e5abaad1c"/>
    <w:p>
      <w:pPr>
        <w:pStyle w:val="Heading3"/>
      </w:pPr>
      <w:r>
        <w:t xml:space="preserve">Piano Economico-Finanziario 2027–2032 · Versione 3.0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intesi-esecutiva"/>
    <w:p>
      <w:pPr>
        <w:pStyle w:val="Heading2"/>
      </w:pPr>
      <w:r>
        <w:t xml:space="preserve">1. Sintesi esecutiva</w:t>
      </w:r>
    </w:p>
    <w:p>
      <w:pPr>
        <w:pStyle w:val="FirstParagraph"/>
      </w:pPr>
      <w:r>
        <w:t xml:space="preserve">Seainnova S.r.l., start-up innovativa con sede a La Maddalena (Sardegna), presenta il piano economico-finanziario per il periodo 2027–2032 relativo allo sviluppo, produzione e commercializzazione di un sistema integrato di</w:t>
      </w:r>
      <w:r>
        <w:t xml:space="preserve"> </w:t>
      </w:r>
      <w:r>
        <w:rPr>
          <w:bCs/>
          <w:b/>
        </w:rPr>
        <w:t xml:space="preserve">boe da ormeggio intelligenti</w:t>
      </w:r>
      <w:r>
        <w:t xml:space="preserve"> </w:t>
      </w:r>
      <w:r>
        <w:t xml:space="preserve">(linea Betty Buoys) abbinato a una piattaforma software B2B (NaviGoo24 / PUCK) per la gestione digitale degli ormeggi.</w:t>
      </w:r>
    </w:p>
    <w:p>
      <w:pPr>
        <w:pStyle w:val="BodyText"/>
      </w:pPr>
      <w:r>
        <w:rPr>
          <w:bCs/>
          <w:b/>
        </w:rPr>
        <w:t xml:space="preserve">Numeri chiave del piano consolidato (Boe + PUCK B2B):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Cumulato 6 anni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Boe operative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Ricavi totali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 k€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6.599 k€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16.815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totale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 k€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5.241 k€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12.844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Margine 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76% 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 totale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 k€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1.883 k€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8.815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Flow Netto cumulato (con incentivi)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~3,5 M€</w:t>
            </w:r>
          </w:p>
        </w:tc>
      </w:tr>
    </w:tbl>
    <w:p>
      <w:pPr>
        <w:pStyle w:val="BodyText"/>
      </w:pPr>
      <w:r>
        <w:rPr>
          <w:bCs/>
          <w:b/>
        </w:rPr>
        <w:t xml:space="preserve">Punti distintivi: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EBITDA positivo dal 2027</w:t>
      </w:r>
      <w:r>
        <w:t xml:space="preserve"> </w:t>
      </w:r>
      <w:r>
        <w:t xml:space="preserve">(anno pilota), break-even di cassa nel 2029.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Crescita 47× del parco boe</w:t>
      </w:r>
      <w:r>
        <w:t xml:space="preserve"> </w:t>
      </w:r>
      <w:r>
        <w:t xml:space="preserve">in 6 anni, con margine EBITDA che si stabilizza intorno al 79–80% a regime.</w:t>
      </w:r>
      <w:r>
        <w:t xml:space="preserve"> </w:t>
      </w:r>
      <w:r>
        <w:t xml:space="preserve">- Doppia linea di ricavi: hardware-as-a-service (boe) e SaaS B2B (NaviGoo24).</w:t>
      </w:r>
      <w:r>
        <w:t xml:space="preserve"> </w:t>
      </w:r>
      <w:r>
        <w:t xml:space="preserve">- Localizzazione in</w:t>
      </w:r>
      <w:r>
        <w:t xml:space="preserve"> </w:t>
      </w:r>
      <w:r>
        <w:rPr>
          <w:bCs/>
          <w:b/>
        </w:rPr>
        <w:t xml:space="preserve">Zona Economica Speciale (ZES) Sardegna</w:t>
      </w:r>
      <w:r>
        <w:t xml:space="preserve"> </w:t>
      </w:r>
      <w:r>
        <w:t xml:space="preserve">con accesso a credito d’imposta sugli investimenti produttivi.</w:t>
      </w:r>
    </w:p>
    <w:p>
      <w:r>
        <w:pict>
          <v:rect style="width:0;height:1.5pt" o:hralign="center" o:hrstd="t" o:hr="t"/>
        </w:pict>
      </w:r>
    </w:p>
    <w:bookmarkEnd w:id="22"/>
    <w:bookmarkStart w:id="26" w:name="il-progetto"/>
    <w:p>
      <w:pPr>
        <w:pStyle w:val="Heading2"/>
      </w:pPr>
      <w:r>
        <w:t xml:space="preserve">2. Il progetto</w:t>
      </w:r>
    </w:p>
    <w:bookmarkStart w:id="23" w:name="prodotto"/>
    <w:p>
      <w:pPr>
        <w:pStyle w:val="Heading3"/>
      </w:pPr>
      <w:r>
        <w:t xml:space="preserve">2.1 Prodotto</w:t>
      </w:r>
    </w:p>
    <w:p>
      <w:pPr>
        <w:pStyle w:val="FirstParagraph"/>
      </w:pPr>
      <w:r>
        <w:t xml:space="preserve">Sistema fisico</w:t>
      </w:r>
      <w:r>
        <w:t xml:space="preserve"> </w:t>
      </w:r>
      <w:r>
        <w:rPr>
          <w:bCs/>
          <w:b/>
        </w:rPr>
        <w:t xml:space="preserve">Betty Buoys</w:t>
      </w:r>
      <w:r>
        <w:t xml:space="preserve"> </w:t>
      </w:r>
      <w:r>
        <w:t xml:space="preserve">= boa da ormeggio galleggiante + corpo morto in granito eco-compatibile (corpo vivo) ancorato al fondale + sensoristica IoT integrata. La componente IoT consente:</w:t>
      </w:r>
      <w:r>
        <w:t xml:space="preserve"> </w:t>
      </w:r>
      <w:r>
        <w:t xml:space="preserve">- riconoscimento automatico dell’imbarcazione ormeggiata,</w:t>
      </w:r>
      <w:r>
        <w:t xml:space="preserve"> </w:t>
      </w:r>
      <w:r>
        <w:t xml:space="preserve">- misurazione dei tempi di occupazione,</w:t>
      </w:r>
      <w:r>
        <w:t xml:space="preserve"> </w:t>
      </w:r>
      <w:r>
        <w:t xml:space="preserve">- comunicazione bidirezionale con app utente per prenotazione e pagamento.</w:t>
      </w:r>
    </w:p>
    <w:bookmarkEnd w:id="23"/>
    <w:bookmarkStart w:id="24" w:name="piattaforma-software"/>
    <w:p>
      <w:pPr>
        <w:pStyle w:val="Heading3"/>
      </w:pPr>
      <w:r>
        <w:t xml:space="preserve">2.2 Piattaforma software</w:t>
      </w:r>
    </w:p>
    <w:p>
      <w:pPr>
        <w:pStyle w:val="FirstParagraph"/>
      </w:pPr>
      <w:r>
        <w:rPr>
          <w:bCs/>
          <w:b/>
        </w:rPr>
        <w:t xml:space="preserve">PUCK App</w:t>
      </w:r>
      <w:r>
        <w:t xml:space="preserve"> </w:t>
      </w:r>
      <w:r>
        <w:t xml:space="preserve">(lato utente B2C): prenotazione, pagamento, navigazione assistita verso la boa.</w:t>
      </w:r>
      <w:r>
        <w:t xml:space="preserve"> </w:t>
      </w:r>
      <w:r>
        <w:rPr>
          <w:bCs/>
          <w:b/>
        </w:rPr>
        <w:t xml:space="preserve">NaviGoo24</w:t>
      </w:r>
      <w:r>
        <w:t xml:space="preserve"> </w:t>
      </w:r>
      <w:r>
        <w:t xml:space="preserve">(lato operatore B2B): dashboard di gestione per concessionari, marina, AMP, comuni costieri. Tre livelli tariffari mensili: Basic 20€, Premium 75€, Enterprise 140€.</w:t>
      </w:r>
    </w:p>
    <w:bookmarkEnd w:id="24"/>
    <w:bookmarkStart w:id="25" w:name="mercato-di-riferimento"/>
    <w:p>
      <w:pPr>
        <w:pStyle w:val="Heading3"/>
      </w:pPr>
      <w:r>
        <w:t xml:space="preserve">2.3 Mercato di riferimento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Aree Marine Protette</w:t>
      </w:r>
      <w:r>
        <w:t xml:space="preserve"> </w:t>
      </w:r>
      <w:r>
        <w:t xml:space="preserve">(AMP) e zone vincolate dove l’ancoraggio tradizionale è proibito.</w:t>
      </w:r>
    </w:p>
    <w:p>
      <w:pPr>
        <w:numPr>
          <w:ilvl w:val="0"/>
          <w:numId w:val="1001"/>
        </w:numPr>
        <w:pStyle w:val="Compact"/>
      </w:pPr>
      <w:r>
        <w:t xml:space="preserve">Marina, porti turistici, concessionari di specchi acquei.</w:t>
      </w:r>
    </w:p>
    <w:p>
      <w:pPr>
        <w:numPr>
          <w:ilvl w:val="0"/>
          <w:numId w:val="1001"/>
        </w:numPr>
        <w:pStyle w:val="Compact"/>
      </w:pPr>
      <w:r>
        <w:t xml:space="preserve">Mercato addressable B2B stimato in ~1.020 operatori potenziali sul territorio nazionale.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modello-di-business"/>
    <w:p>
      <w:pPr>
        <w:pStyle w:val="Heading2"/>
      </w:pPr>
      <w:r>
        <w:t xml:space="preserve">3. Modello di business</w:t>
      </w:r>
    </w:p>
    <w:bookmarkStart w:id="27" w:name="linea-boe-b2cb2b2c"/>
    <w:p>
      <w:pPr>
        <w:pStyle w:val="Heading3"/>
      </w:pPr>
      <w:r>
        <w:t xml:space="preserve">3.1 Linea Boe (B2C/B2B2C)</w:t>
      </w:r>
    </w:p>
    <w:p>
      <w:pPr>
        <w:pStyle w:val="FirstParagraph"/>
      </w:pPr>
      <w:r>
        <w:t xml:space="preserve">Ricavi unitari =</w:t>
      </w:r>
      <w:r>
        <w:t xml:space="preserve"> </w:t>
      </w:r>
      <w:r>
        <w:rPr>
          <w:rStyle w:val="VerbatimChar"/>
        </w:rPr>
        <w:t xml:space="preserve">Boe operative × Occupancy × Giorni operativi × Tariffa per uso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Boe cumul.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Tariffa €/uso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Occupancy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Giorni operativi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Ricavi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648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1.474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2.693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4.232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6.113 k€</w:t>
            </w:r>
          </w:p>
        </w:tc>
      </w:tr>
    </w:tbl>
    <w:p>
      <w:pPr>
        <w:pStyle w:val="BodyText"/>
      </w:pPr>
      <w:r>
        <w:rPr>
          <w:bCs/>
          <w:b/>
        </w:rPr>
        <w:t xml:space="preserve">Logica tariffaria</w:t>
      </w:r>
      <w:r>
        <w:t xml:space="preserve">: la tariffa premium 92€ del 2027 corrisponde alla fase pilota (alta personalizzazione, test, validazione); dal 2028 si transita a tariffa standard 50–60€ per stimolare adozione di massa.</w:t>
      </w:r>
    </w:p>
    <w:bookmarkEnd w:id="27"/>
    <w:bookmarkStart w:id="28" w:name="linea-navigoo24-puck-b2b-saas"/>
    <w:p>
      <w:pPr>
        <w:pStyle w:val="Heading3"/>
      </w:pPr>
      <w:r>
        <w:t xml:space="preserve">3.2 Linea NaviGoo24 / PUCK B2B (SaaS)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Contratti tot.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Premium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Ricavi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EBITDA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 k€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-35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 k€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 k€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+81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 k€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+159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 k€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+273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 k€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+325 k€</w:t>
            </w:r>
          </w:p>
        </w:tc>
      </w:tr>
    </w:tbl>
    <w:p>
      <w:pPr>
        <w:pStyle w:val="BodyText"/>
      </w:pPr>
      <w:r>
        <w:t xml:space="preserve">EBITDA cumulato linea SaaS:</w:t>
      </w:r>
      <w:r>
        <w:t xml:space="preserve"> </w:t>
      </w:r>
      <w:r>
        <w:rPr>
          <w:bCs/>
          <w:b/>
        </w:rPr>
        <w:t xml:space="preserve">+809 k€</w:t>
      </w:r>
      <w:r>
        <w:t xml:space="preserve"> </w:t>
      </w:r>
      <w:r>
        <w:t xml:space="preserve">sui 6 anni.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iano-operativo"/>
    <w:p>
      <w:pPr>
        <w:pStyle w:val="Heading2"/>
      </w:pPr>
      <w:r>
        <w:t xml:space="preserve">4. Piano operativo</w:t>
      </w:r>
    </w:p>
    <w:bookmarkStart w:id="30" w:name="deployment-boe-capex"/>
    <w:p>
      <w:pPr>
        <w:pStyle w:val="Heading3"/>
      </w:pPr>
      <w:r>
        <w:t xml:space="preserve">4.1 Deployment boe (CAPEX)</w:t>
      </w:r>
    </w:p>
    <w:p>
      <w:pPr>
        <w:pStyle w:val="FirstParagraph"/>
      </w:pPr>
      <w:r>
        <w:t xml:space="preserve">Costo unitario boa completa:</w:t>
      </w:r>
      <w:r>
        <w:t xml:space="preserve"> </w:t>
      </w:r>
      <w:r>
        <w:rPr>
          <w:bCs/>
          <w:b/>
        </w:rPr>
        <w:t xml:space="preserve">12.000€</w:t>
      </w:r>
      <w:r>
        <w:t xml:space="preserve"> </w:t>
      </w:r>
      <w:r>
        <w:t xml:space="preserve">(hardware + struttura + installazione, valori di listino pieno — versione 3.0 prudenziale, senza sconti volume).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Boe nuove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CAPEX boe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CAPEX iniziale¹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CAPEX totale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 k€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 k€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 k€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 k€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785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1.200 k€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k€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1.205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1.680 k€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k€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1.730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2.160 k€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k€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2.165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2.640 k€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k€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2.675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8.580 k€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235 k€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8.815 k€</w:t>
            </w:r>
          </w:p>
        </w:tc>
      </w:tr>
    </w:tbl>
    <w:p>
      <w:pPr>
        <w:pStyle w:val="BodyText"/>
      </w:pPr>
      <w:r>
        <w:t xml:space="preserve">¹ R&amp;D, gommoni, furgone, attrezzatura.</w:t>
      </w:r>
    </w:p>
    <w:bookmarkEnd w:id="30"/>
    <w:bookmarkStart w:id="31" w:name="opex"/>
    <w:p>
      <w:pPr>
        <w:pStyle w:val="Heading3"/>
      </w:pPr>
      <w:r>
        <w:t xml:space="preserve">4.2 OPEX</w:t>
      </w:r>
    </w:p>
    <w:p>
      <w:pPr>
        <w:pStyle w:val="FirstParagraph"/>
      </w:pPr>
      <w:r>
        <w:t xml:space="preserve">Struttura OPEX</w:t>
      </w:r>
      <w:r>
        <w:t xml:space="preserve"> </w:t>
      </w:r>
      <w:r>
        <w:rPr>
          <w:bCs/>
          <w:b/>
        </w:rPr>
        <w:t xml:space="preserve">Boe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OPEX base</w:t>
      </w:r>
      <w:r>
        <w:t xml:space="preserve"> </w:t>
      </w:r>
      <w:r>
        <w:t xml:space="preserve">= 70.000€/anno (personale, app, logistica, utilities) con crescita annua +5%.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OPEX ricorrente per boa</w:t>
      </w:r>
      <w:r>
        <w:t xml:space="preserve"> </w:t>
      </w:r>
      <w:r>
        <w:t xml:space="preserve">= 1.550€/boa/anno (ricambi 312 + assicurazione 65 + SIM 48 + posa stagionale 1.125).</w:t>
      </w:r>
    </w:p>
    <w:p>
      <w:pPr>
        <w:pStyle w:val="BodyText"/>
      </w:pPr>
      <w:r>
        <w:t xml:space="preserve">Struttura OPEX</w:t>
      </w:r>
      <w:r>
        <w:t xml:space="preserve"> </w:t>
      </w:r>
      <w:r>
        <w:rPr>
          <w:bCs/>
          <w:b/>
        </w:rPr>
        <w:t xml:space="preserve">NaviGoo24</w:t>
      </w:r>
      <w:r>
        <w:t xml:space="preserve">: software, marketing, infrastruttura, personale commerciale (vedi BP per dettaglio annuo).</w:t>
      </w:r>
    </w:p>
    <w:p>
      <w:pPr>
        <w:pStyle w:val="BodyText"/>
      </w:pPr>
      <w:r>
        <w:t xml:space="preserve">OPEX consolidato 6 anni:</w:t>
      </w:r>
      <w:r>
        <w:t xml:space="preserve"> </w:t>
      </w:r>
      <w:r>
        <w:rPr>
          <w:bCs/>
          <w:b/>
        </w:rPr>
        <w:t xml:space="preserve">3,97 M€</w:t>
      </w:r>
      <w:r>
        <w:t xml:space="preserve">.</w:t>
      </w:r>
    </w:p>
    <w:bookmarkEnd w:id="31"/>
    <w:bookmarkStart w:id="32" w:name="ammortamenti"/>
    <w:p>
      <w:pPr>
        <w:pStyle w:val="Heading3"/>
      </w:pPr>
      <w:r>
        <w:t xml:space="preserve">4.3 Ammortamenti</w:t>
      </w:r>
    </w:p>
    <w:p>
      <w:pPr>
        <w:pStyle w:val="FirstParagraph"/>
      </w:pPr>
      <w:r>
        <w:t xml:space="preserve">Boe ammortizzate su 5 anni (durata operativa media). Ammortamenti totali sul periodo:</w:t>
      </w:r>
      <w:r>
        <w:t xml:space="preserve"> </w:t>
      </w:r>
      <w:r>
        <w:rPr>
          <w:bCs/>
          <w:b/>
        </w:rPr>
        <w:t xml:space="preserve">6,09 M€</w:t>
      </w:r>
      <w:r>
        <w:t xml:space="preserve">, con CAPEX residuo da ammortizzare oltre il 2032 (boe acquistate nel 2028+).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intesi-del-conto-economico-consolidato"/>
    <w:p>
      <w:pPr>
        <w:pStyle w:val="Heading2"/>
      </w:pPr>
      <w:r>
        <w:t xml:space="preserve">5. Sintesi del Conto Economico consolidato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Voce (k€)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TOT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Ricavi Boe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Ricavi NaviGoo24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Ricavi Totali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1.651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2.975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4.667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6.599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16.815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 Boe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 NaviGoo24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OPEX Totale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1.013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1.359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EBITDA Totale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-4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1.207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2.283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3.653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5.241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12.844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Ammortamenti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-55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1.203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1.956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2.840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6.757</w:t>
            </w:r>
          </w:p>
        </w:tc>
      </w:tr>
    </w:tbl>
    <w:p>
      <w:pPr>
        <w:pStyle w:val="BodyText"/>
      </w:pPr>
      <w:r>
        <w:rPr>
          <w:bCs/>
          <w:b/>
        </w:rPr>
        <w:t xml:space="preserve">Break-even analysis:</w:t>
      </w:r>
      <w:r>
        <w:t xml:space="preserve"> </w:t>
      </w:r>
      <w:r>
        <w:t xml:space="preserve">- EBITDA positivo: dal</w:t>
      </w:r>
      <w:r>
        <w:t xml:space="preserve"> </w:t>
      </w:r>
      <w:r>
        <w:rPr>
          <w:bCs/>
          <w:b/>
        </w:rPr>
        <w:t xml:space="preserve">2028</w:t>
      </w:r>
      <w:r>
        <w:t xml:space="preserve"> </w:t>
      </w:r>
      <w:r>
        <w:t xml:space="preserve">(consolidato).</w:t>
      </w:r>
      <w:r>
        <w:t xml:space="preserve"> </w:t>
      </w:r>
      <w:r>
        <w:t xml:space="preserve">- Cash flow operativo positivo: dal</w:t>
      </w:r>
      <w:r>
        <w:t xml:space="preserve"> </w:t>
      </w:r>
      <w:r>
        <w:rPr>
          <w:bCs/>
          <w:b/>
        </w:rPr>
        <w:t xml:space="preserve">2029</w:t>
      </w:r>
      <w:r>
        <w:t xml:space="preserve">.</w:t>
      </w:r>
      <w:r>
        <w:t xml:space="preserve"> </w:t>
      </w:r>
      <w:r>
        <w:t xml:space="preserve">- Recupero CAPEX cumulato (CFO ≥ CAPEX): atteso entro</w:t>
      </w:r>
      <w:r>
        <w:t xml:space="preserve"> </w:t>
      </w:r>
      <w:r>
        <w:rPr>
          <w:bCs/>
          <w:b/>
        </w:rPr>
        <w:t xml:space="preserve">fine 2032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8" w:name="piano-finanziario-e-copertura"/>
    <w:p>
      <w:pPr>
        <w:pStyle w:val="Heading2"/>
      </w:pPr>
      <w:r>
        <w:t xml:space="preserve">6. Piano finanziario e copertura</w:t>
      </w:r>
    </w:p>
    <w:bookmarkStart w:id="35" w:name="fabbisogno-finanziario"/>
    <w:p>
      <w:pPr>
        <w:pStyle w:val="Heading3"/>
      </w:pPr>
      <w:r>
        <w:t xml:space="preserve">6.1 Fabbisogno finanziario</w:t>
      </w:r>
    </w:p>
    <w:p>
      <w:pPr>
        <w:pStyle w:val="FirstParagraph"/>
      </w:pPr>
      <w:r>
        <w:t xml:space="preserve">Investimento complessivo cumulato 2027–2032:</w:t>
      </w:r>
      <w:r>
        <w:t xml:space="preserve"> </w:t>
      </w:r>
      <w:r>
        <w:rPr>
          <w:bCs/>
          <w:b/>
        </w:rPr>
        <w:t xml:space="preserve">8,82 M€</w:t>
      </w:r>
      <w:r>
        <w:t xml:space="preserve"> </w:t>
      </w:r>
      <w:r>
        <w:t xml:space="preserve">di CAPEX + 3,97 M€ di OPEX =</w:t>
      </w:r>
      <w:r>
        <w:t xml:space="preserve"> </w:t>
      </w:r>
      <w:r>
        <w:rPr>
          <w:bCs/>
          <w:b/>
        </w:rPr>
        <w:t xml:space="preserve">12,79 M€</w:t>
      </w:r>
      <w:r>
        <w:t xml:space="preserve"> </w:t>
      </w:r>
      <w:r>
        <w:t xml:space="preserve">di esposizione lorda. Coperti progressivamente da:</w:t>
      </w:r>
      <w:r>
        <w:t xml:space="preserve"> </w:t>
      </w:r>
      <w:r>
        <w:t xml:space="preserve">1. Ricavi operativi (16,82 M€ cumulati).</w:t>
      </w:r>
      <w:r>
        <w:t xml:space="preserve"> </w:t>
      </w:r>
      <w:r>
        <w:t xml:space="preserve">2. Contributi pubblici a fondo perduto.</w:t>
      </w:r>
      <w:r>
        <w:t xml:space="preserve"> </w:t>
      </w:r>
      <w:r>
        <w:t xml:space="preserve">3. Crediti d’imposta in compensazione.</w:t>
      </w:r>
      <w:r>
        <w:t xml:space="preserve"> </w:t>
      </w:r>
      <w:r>
        <w:t xml:space="preserve">4. Eventuali finanziamenti agevolati (linea aperta, oggi 0€ a budget).</w:t>
      </w:r>
    </w:p>
    <w:bookmarkEnd w:id="35"/>
    <w:bookmarkStart w:id="36" w:name="incentivi-pubblici-previsti"/>
    <w:p>
      <w:pPr>
        <w:pStyle w:val="Heading3"/>
      </w:pPr>
      <w:r>
        <w:t xml:space="preserve">6.2 Incentivi pubblici previsti</w:t>
      </w:r>
    </w:p>
    <w:p>
      <w:pPr>
        <w:pStyle w:val="FirstParagraph"/>
      </w:pPr>
      <w:r>
        <w:rPr>
          <w:bCs/>
          <w:b/>
        </w:rPr>
        <w:t xml:space="preserve">PNRR – R&amp;D 2027:</w:t>
      </w:r>
      <w:r>
        <w:t xml:space="preserve"> </w:t>
      </w:r>
      <w:r>
        <w:t xml:space="preserve">- Investimento ammissibile:</w:t>
      </w:r>
      <w:r>
        <w:t xml:space="preserve"> </w:t>
      </w:r>
      <w:r>
        <w:rPr>
          <w:bCs/>
          <w:b/>
        </w:rPr>
        <w:t xml:space="preserve">250.000€</w:t>
      </w:r>
      <w:r>
        <w:t xml:space="preserve"> </w:t>
      </w:r>
      <w:r>
        <w:t xml:space="preserve">(R&amp;D iscritto + sperimentazione/pilot).</w:t>
      </w:r>
      <w:r>
        <w:t xml:space="preserve"> </w:t>
      </w:r>
      <w:r>
        <w:t xml:space="preserve">- Contributo a fondo perduto al 80%:</w:t>
      </w:r>
      <w:r>
        <w:t xml:space="preserve"> </w:t>
      </w:r>
      <w:r>
        <w:rPr>
          <w:bCs/>
          <w:b/>
        </w:rPr>
        <w:t xml:space="preserve">200.000€</w:t>
      </w:r>
      <w:r>
        <w:t xml:space="preserve">.</w:t>
      </w:r>
      <w:r>
        <w:t xml:space="preserve"> </w:t>
      </w:r>
      <w:r>
        <w:t xml:space="preserve">- Erogazione: 2027.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Disclosure</w:t>
      </w:r>
      <w:r>
        <w:t xml:space="preserve">: il contributo è subordinato a (i) bando attivo e compatibile, (ii) ammissibilità formale delle voci di spesa, (iii) corrispondenza puntuale con scritture contabili in fase di rendicontazione finale.</w:t>
      </w:r>
    </w:p>
    <w:p>
      <w:pPr>
        <w:pStyle w:val="FirstParagraph"/>
      </w:pPr>
      <w:r>
        <w:rPr>
          <w:bCs/>
          <w:b/>
        </w:rPr>
        <w:t xml:space="preserve">ZES Sardegna – Credito d’imposta:</w:t>
      </w:r>
      <w:r>
        <w:t xml:space="preserve"> </w:t>
      </w:r>
      <w:r>
        <w:t xml:space="preserve">- Esercizio: 2028.</w:t>
      </w:r>
      <w:r>
        <w:t xml:space="preserve"> </w:t>
      </w:r>
      <w:r>
        <w:t xml:space="preserve">- Importo applicato (cap prudenziale):</w:t>
      </w:r>
      <w:r>
        <w:t xml:space="preserve"> </w:t>
      </w:r>
      <w:r>
        <w:rPr>
          <w:bCs/>
          <w:b/>
        </w:rPr>
        <w:t xml:space="preserve">256.074€</w:t>
      </w:r>
      <w:r>
        <w:t xml:space="preserve">.</w:t>
      </w:r>
      <w:r>
        <w:t xml:space="preserve"> </w:t>
      </w:r>
      <w:r>
        <w:t xml:space="preserve">- Massimo teorico: 70% × CAPEX boe 2028 = ~504k€ (cap non utilizzato in attesa di istruttoria).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Disclosure</w:t>
      </w:r>
      <w:r>
        <w:t xml:space="preserve">: trattasi di credito d’imposta utilizzabile</w:t>
      </w:r>
      <w:r>
        <w:t xml:space="preserve"> </w:t>
      </w:r>
      <w:r>
        <w:rPr>
          <w:bCs/>
          <w:b/>
        </w:rPr>
        <w:t xml:space="preserve">esclusivamente in compensazione F24</w:t>
      </w:r>
      <w:r>
        <w:t xml:space="preserve">, NON liquidità diretta. Beneficio condizionato all’effettivo carico fiscale e alla localizzazione produttiva in zona ZES.</w:t>
      </w:r>
    </w:p>
    <w:p>
      <w:pPr>
        <w:pStyle w:val="FirstParagraph"/>
      </w:pPr>
      <w:r>
        <w:rPr>
          <w:bCs/>
          <w:b/>
        </w:rPr>
        <w:t xml:space="preserve">Bando Blue Economy 2028</w:t>
      </w:r>
      <w:r>
        <w:t xml:space="preserve">: 300€ (importo simbolico in attesa di apertura bando — da consolidare).</w:t>
      </w:r>
    </w:p>
    <w:bookmarkEnd w:id="36"/>
    <w:bookmarkStart w:id="37" w:name="cash-flow-netto-consolidato"/>
    <w:p>
      <w:pPr>
        <w:pStyle w:val="Heading3"/>
      </w:pPr>
      <w:r>
        <w:t xml:space="preserve">6.3 Cash Flow Netto consolidato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Contributi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CF Netto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+1.488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+2.566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8.815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3.972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12.844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+4.029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+4.485</w:t>
            </w:r>
          </w:p>
        </w:tc>
      </w:tr>
    </w:tbl>
    <w:p>
      <w:pPr>
        <w:pStyle w:val="BodyText"/>
      </w:pPr>
      <w:r>
        <w:t xml:space="preserve">Valori in k€. CFO = EBITDA - CAPEX. CF Netto = CFO + Contributi.</w:t>
      </w:r>
    </w:p>
    <w:p>
      <w:pPr>
        <w:pStyle w:val="BodyText"/>
      </w:pPr>
      <w:r>
        <w:rPr>
          <w:bCs/>
          <w:b/>
        </w:rPr>
        <w:t xml:space="preserve">Picco di fabbisogno</w:t>
      </w:r>
      <w:r>
        <w:t xml:space="preserve">: a fine 2028 il cash flow operativo cumulato è ancora negativo (~-580 k€). È in questa finestra che si concentra il fabbisogno di equity / debito ponte. Dal 2029 il piano si autofinanzia con i ricavi operativi.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nalisi-di-resilienza-e-break-even"/>
    <w:p>
      <w:pPr>
        <w:pStyle w:val="Heading2"/>
      </w:pPr>
      <w:r>
        <w:t xml:space="preserve">7. Analisi di resilienza e break-even</w:t>
      </w:r>
    </w:p>
    <w:p>
      <w:pPr>
        <w:pStyle w:val="FirstParagraph"/>
      </w:pPr>
      <w:r>
        <w:t xml:space="preserve">Per ogni anno è calcolato il numero minimo di boe necessario per raggiungere il break-even, in tre scenari: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Boe effettive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BEP scenario 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BEP +15% costi fissi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BEP +10% costi var.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Margine sicurezza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</w:tr>
    </w:tbl>
    <w:p>
      <w:pPr>
        <w:pStyle w:val="BodyText"/>
      </w:pPr>
      <w:r>
        <w:rPr>
          <w:bCs/>
          <w:b/>
        </w:rPr>
        <w:t xml:space="preserve">Lettura</w:t>
      </w:r>
      <w:r>
        <w:t xml:space="preserve">: dal 2028 in poi il margine di sicurezza supera l’85%, indicando un piano molto resistente a shock di costi entro il +15%.</w:t>
      </w:r>
    </w:p>
    <w:p>
      <w:r>
        <w:pict>
          <v:rect style="width:0;height:1.5pt" o:hralign="center" o:hrstd="t" o:hr="t"/>
        </w:pict>
      </w:r>
    </w:p>
    <w:bookmarkEnd w:id="39"/>
    <w:bookmarkStart w:id="40" w:name="principali-rischi-e-mitigazioni"/>
    <w:p>
      <w:pPr>
        <w:pStyle w:val="Heading2"/>
      </w:pPr>
      <w:r>
        <w:t xml:space="preserve">8. Principali rischi e mitigazioni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Rischio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Slittamento autorizzazioni AMP / concessioni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Pre-accordi con AMP e comuni; fase pilota 2027 con 15 boe già autorizzate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Ritardo erogazione PNRR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conservativo a 200k€; piano fattibile anche senza (con maggior fabbisogno equity)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Prezzo unitario boa al rialzo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Valori a listino pieno (no sconti); negoziazione volume oltre 300 unità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reale &lt;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BEP con margine sicurezza &gt;85% dal 2028; tariffa flessibile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Concorrenza tecnologica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Brevetti su corpo vivo + integrazione IoT; vantaggio first-mover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Adozione PUCK B2B sotto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 SaaS rappresenta solo il 9% dei ricavi; piano resiste anche a tasso adozione 50%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note-metodologiche-v3.0"/>
    <w:p>
      <w:pPr>
        <w:pStyle w:val="Heading2"/>
      </w:pPr>
      <w:r>
        <w:t xml:space="preserve">9. Note metodologiche (v3.0)</w:t>
      </w:r>
    </w:p>
    <w:p>
      <w:pPr>
        <w:pStyle w:val="FirstParagraph"/>
      </w:pPr>
      <w:r>
        <w:t xml:space="preserve">Questa versione include le seguenti correzioni rispetto al modello originale:</w:t>
      </w:r>
    </w:p>
    <w:p>
      <w:pPr>
        <w:pStyle w:val="BodyText"/>
      </w:pPr>
      <w:r>
        <w:rPr>
          <w:bCs/>
          <w:b/>
        </w:rPr>
        <w:t xml:space="preserve">Correttezza tecnica (Tier 1):</w:t>
      </w:r>
      <w:r>
        <w:t xml:space="preserve"> </w:t>
      </w:r>
      <w:r>
        <w:t xml:space="preserve">- Rinominato foglio piano BP da</w:t>
      </w:r>
      <w:r>
        <w:t xml:space="preserve"> </w:t>
      </w:r>
      <w:r>
        <w:t xml:space="preserve">“</w:t>
      </w:r>
      <w:r>
        <w:t xml:space="preserve">2026_2031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2027_2032</w:t>
      </w:r>
      <w:r>
        <w:t xml:space="preserve">”</w:t>
      </w:r>
      <w:r>
        <w:t xml:space="preserve">.</w:t>
      </w:r>
      <w:r>
        <w:t xml:space="preserve"> </w:t>
      </w:r>
      <w:r>
        <w:t xml:space="preserve">- Riallineati i label di anno nelle tabelle PUCK B2B (precedentemente shift di un anno).</w:t>
      </w:r>
      <w:r>
        <w:t xml:space="preserve"> </w:t>
      </w:r>
      <w:r>
        <w:t xml:space="preserve">- Ammortamenti riallineati al CAPEX effettivo.</w:t>
      </w:r>
      <w:r>
        <w:t xml:space="preserve"> </w:t>
      </w:r>
      <w:r>
        <w:t xml:space="preserve">- Pulite celle con errori di formula (#NAME?, testi orfani).</w:t>
      </w:r>
    </w:p>
    <w:p>
      <w:pPr>
        <w:pStyle w:val="BodyText"/>
      </w:pPr>
      <w:r>
        <w:rPr>
          <w:bCs/>
          <w:b/>
        </w:rPr>
        <w:t xml:space="preserve">Solidità finanziaria (Tier 2):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Sconto fornitore 30% rimosso</w:t>
      </w:r>
      <w:r>
        <w:t xml:space="preserve">: costo boa a listino pieno 12.000€ per coerenza con valutazione prudenziale.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PNRR ridimensionato</w:t>
      </w:r>
      <w:r>
        <w:t xml:space="preserve"> </w:t>
      </w:r>
      <w:r>
        <w:t xml:space="preserve">a 250k ammissibili / 200k fondo perduto: in linea con spese R&amp;D effettivamente certificabili.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ZES esplicitato</w:t>
      </w:r>
      <w:r>
        <w:t xml:space="preserve"> </w:t>
      </w:r>
      <w:r>
        <w:t xml:space="preserve">come formula con cap prudenziale 256k.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NaviGoo24 consolidato</w:t>
      </w:r>
      <w:r>
        <w:t xml:space="preserve"> </w:t>
      </w:r>
      <w:r>
        <w:t xml:space="preserve">in Piano Finanziario e Conto Economico (precedentemente trattata come linea separata).</w:t>
      </w:r>
    </w:p>
    <w:p>
      <w:pPr>
        <w:pStyle w:val="BodyText"/>
      </w:pPr>
      <w:r>
        <w:rPr>
          <w:bCs/>
          <w:b/>
        </w:rPr>
        <w:t xml:space="preserve">Disclosure di rischio:</w:t>
      </w:r>
      <w:r>
        <w:t xml:space="preserve"> </w:t>
      </w:r>
      <w:r>
        <w:t xml:space="preserve">banner gialli espliciti su ogni ipotesi condizionata da bandi, istruttorie o trattative.</w:t>
      </w:r>
    </w:p>
    <w:p>
      <w:r>
        <w:pict>
          <v:rect style="width:0;height:1.5pt" o:hralign="center" o:hrstd="t" o:hr="t"/>
        </w:pict>
      </w:r>
    </w:p>
    <w:bookmarkEnd w:id="41"/>
    <w:bookmarkStart w:id="42" w:name="conclusioni"/>
    <w:p>
      <w:pPr>
        <w:pStyle w:val="Heading2"/>
      </w:pPr>
      <w:r>
        <w:t xml:space="preserve">10. Conclusioni</w:t>
      </w:r>
    </w:p>
    <w:p>
      <w:pPr>
        <w:pStyle w:val="FirstParagraph"/>
      </w:pPr>
      <w:r>
        <w:t xml:space="preserve">Il Business Plan v3.0 di Seainnova presenta un profilo economico</w:t>
      </w:r>
      <w:r>
        <w:t xml:space="preserve"> </w:t>
      </w:r>
      <w:r>
        <w:rPr>
          <w:bCs/>
          <w:b/>
        </w:rPr>
        <w:t xml:space="preserve">strutturalmente solido</w:t>
      </w:r>
      <w:r>
        <w:t xml:space="preserve"> </w:t>
      </w:r>
      <w:r>
        <w:t xml:space="preserve">dal secondo anno di operatività (2028), con margini EBITDA che si stabilizzano intorno al 79% a regime e un break-even di cassa nel 2029. La principale finestra di esposizione finanziaria si concentra nel biennio 2027–2028 (~580 k€ di fabbisogno netto cumulato a metà 2028), copribile attraverso una combinazione di equity e finanziamenti agevolati attualmente non prezzati a piano.</w:t>
      </w:r>
    </w:p>
    <w:p>
      <w:pPr>
        <w:pStyle w:val="BodyText"/>
      </w:pPr>
      <w:r>
        <w:t xml:space="preserve">L’integrazione tra hardware proprietario (boe IoT) e piattaforma SaaS (NaviGoo24) configura un modello</w:t>
      </w:r>
      <w:r>
        <w:t xml:space="preserve"> </w:t>
      </w:r>
      <w:r>
        <w:rPr>
          <w:bCs/>
          <w:b/>
        </w:rPr>
        <w:t xml:space="preserve">dual revenue</w:t>
      </w:r>
      <w:r>
        <w:t xml:space="preserve"> </w:t>
      </w:r>
      <w:r>
        <w:t xml:space="preserve">con buona diversificazione del rischio commerciale. La localizzazione in ZES Sardegna offre vantaggi fiscali strutturali, mentre i contributi PNRR — sebbene ridimensionati nella v3.0 per prudenza valutativa — restano una leva significativa nella fase di start-up.</w:t>
      </w:r>
    </w:p>
    <w:p>
      <w:pPr>
        <w:pStyle w:val="BodyText"/>
      </w:pPr>
      <w:r>
        <w:t xml:space="preserve">Le ipotesi di occupancy 95% a regime, tariffa stabile a 50€/uso e crescita massiva del parco boe (47× in 6 anni) rappresentano i parametri da monitorare con maggiore attenzione operativa, con margine di sicurezza comunque robusto rispetto al break-even.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redatto a corredo del file:</w:t>
      </w:r>
      <w:r>
        <w:t xml:space="preserve"> </w:t>
      </w:r>
      <w:r>
        <w:rPr>
          <w:rStyle w:val="VerbatimChar"/>
        </w:rPr>
        <w:t xml:space="preserve">BP_Seainnova_2027_2032_CORRETTO.xlsx</w:t>
      </w:r>
      <w:r>
        <w:t xml:space="preserve"> </w:t>
      </w:r>
      <w:r>
        <w:t xml:space="preserve">(versione 3.0)</w:t>
      </w:r>
      <w:r>
        <w:t xml:space="preserve"> </w:t>
      </w:r>
      <w:r>
        <w:rPr>
          <w:bCs/>
          <w:b/>
        </w:rPr>
        <w:t xml:space="preserve">Riferimenti:</w:t>
      </w:r>
      <w:r>
        <w:t xml:space="preserve"> </w:t>
      </w:r>
      <w:r>
        <w:t xml:space="preserve">Seainnova S.r.l. — Luca Rovere (CEO) — luca.rovere@seainnova.com — La Maddalena (SS)</w:t>
      </w:r>
    </w:p>
    <w:bookmarkEnd w:id="42"/>
    <w:bookmarkEnd w:id="43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