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  <Override PartName="/word/media/rId50.png" ContentType="image/png"/>
  <Override PartName="/word/media/rId53.png" ContentType="image/png"/>
  <Override PartName="/word/media/rId29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32.png" ContentType="image/png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Using</w:t>
      </w:r>
      <w:r>
        <w:t xml:space="preserve"> </w:t>
      </w:r>
      <w:r>
        <w:t xml:space="preserve">Quarto</w:t>
      </w:r>
      <w:r>
        <w:t xml:space="preserve"> </w:t>
      </w:r>
      <w:r>
        <w:t xml:space="preserve">for</w:t>
      </w:r>
      <w:r>
        <w:t xml:space="preserve"> </w:t>
      </w:r>
      <w:r>
        <w:t xml:space="preserve">reproducible</w:t>
      </w:r>
      <w:r>
        <w:t xml:space="preserve"> </w:t>
      </w:r>
      <w:r>
        <w:t xml:space="preserve">article</w:t>
      </w:r>
      <w:r>
        <w:t xml:space="preserve"> </w:t>
      </w:r>
      <w:r>
        <w:t xml:space="preserve">writing</w:t>
      </w:r>
    </w:p>
    <w:p>
      <w:pPr>
        <w:pStyle w:val="Author"/>
      </w:pPr>
      <w:r>
        <w:t xml:space="preserve">Lucas</w:t>
      </w:r>
      <w:r>
        <w:t xml:space="preserve"> </w:t>
      </w:r>
      <w:r>
        <w:t xml:space="preserve">A.</w:t>
      </w:r>
      <w:r>
        <w:t xml:space="preserve"> </w:t>
      </w:r>
      <w:r>
        <w:t xml:space="preserve">Meyer</w:t>
      </w:r>
    </w:p>
    <w:p>
      <w:pPr>
        <w:pStyle w:val="Date"/>
      </w:pPr>
      <w:r>
        <w:t xml:space="preserve">2022-07-07</w:t>
      </w:r>
    </w:p>
    <w:bookmarkStart w:id="21" w:name="introduction"/>
    <w:p>
      <w:pPr>
        <w:pStyle w:val="Heading1"/>
      </w:pPr>
      <w:r>
        <w:t xml:space="preserve">1. Introduction</w:t>
      </w:r>
    </w:p>
    <w:p>
      <w:pPr>
        <w:pStyle w:val="FirstParagraph"/>
      </w:pPr>
      <w:r>
        <w:t xml:space="preserve">The purpose of this article is to show how to use Quarto to generate an article just like this, hopefully with better content.</w:t>
      </w:r>
      <w:r>
        <w:t xml:space="preserve"> </w:t>
      </w:r>
      <w:r>
        <w:t xml:space="preserve">This is just a demonstration of how powerful Quarto is to generate multiple artifacts from substantially the same content/code.</w:t>
      </w:r>
    </w:p>
    <w:p>
      <w:pPr>
        <w:pStyle w:val="BodyText"/>
      </w:pPr>
      <w:r>
        <w:t xml:space="preserve">You can see how I have done this in</w:t>
      </w:r>
      <w:r>
        <w:t xml:space="preserve"> </w:t>
      </w:r>
      <w:hyperlink r:id="rId20">
        <w:r>
          <w:rPr>
            <w:rStyle w:val="Hyperlink"/>
          </w:rPr>
          <w:t xml:space="preserve">https://www.meyerperin.com/using-quarto</w:t>
        </w:r>
      </w:hyperlink>
      <w:r>
        <w:t xml:space="preserve">.</w:t>
      </w:r>
    </w:p>
    <w:bookmarkEnd w:id="21"/>
    <w:bookmarkStart w:id="28" w:name="population-changes"/>
    <w:p>
      <w:pPr>
        <w:pStyle w:val="Heading1"/>
      </w:pPr>
      <w:r>
        <w:t xml:space="preserve">2. Population changes</w:t>
      </w:r>
    </w:p>
    <w:p>
      <w:pPr>
        <w:pStyle w:val="FirstParagraph"/>
      </w:pPr>
      <w:r>
        <w:t xml:space="preserve">Over the last few decades, the number of children per woman has been declining and overall longevity has been increasing.</w:t>
      </w:r>
    </w:p>
    <w:p>
      <w:pPr>
        <w:pStyle w:val="BodyText"/>
      </w:pPr>
      <w:r>
        <w:t xml:space="preserve">This has been markedly the case in Asia. Although Japan is frequently remembered as a country with low fertility rates, several other countries now have a fertility rate at or below Japan’s levels, even China, as shown in</w:t>
      </w:r>
      <w:r>
        <w:t xml:space="preserve"> </w:t>
      </w:r>
      <w:hyperlink w:anchor="fig-fertility">
        <w:r>
          <w:rPr>
            <w:rStyle w:val="Hyperlink"/>
          </w:rPr>
          <w:t xml:space="preserve">Figure 1</w:t>
        </w:r>
      </w:hyperlink>
      <w:r>
        <w:t xml:space="preserve">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5" w:name="fig-fertility"/>
          <w:p>
            <w:pPr>
              <w:pStyle w:val="Figure"/>
              <w:jc w:val="center"/>
            </w:pPr>
            <w:r>
              <w:drawing>
                <wp:inline>
                  <wp:extent cx="3018159" cy="3267541"/>
                  <wp:effectExtent b="0" l="0" r="0" t="0"/>
                  <wp:docPr descr="" title="" id="23" name="Picture"/>
                  <a:graphic>
                    <a:graphicData uri="http://schemas.openxmlformats.org/drawingml/2006/picture">
                      <pic:pic>
                        <pic:nvPicPr>
                          <pic:cNvPr descr="images/asia-fertility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18159" cy="326754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Fertility rates in Asia</w:t>
            </w:r>
          </w:p>
          <w:bookmarkEnd w:id="25"/>
        </w:tc>
      </w:tr>
    </w:tbl>
    <w:p>
      <w:pPr>
        <w:pStyle w:val="BodyText"/>
      </w:pPr>
      <w:r>
        <w:t xml:space="preserve">The outcome of these changes is that over the next few decades, the proportion of children and working adults will go down in many countries,</w:t>
      </w:r>
      <w:r>
        <w:t xml:space="preserve"> </w:t>
      </w:r>
      <w:r>
        <w:t xml:space="preserve">and the proportion of older adults will increase. This is detailed in</w:t>
      </w:r>
      <w:r>
        <w:t xml:space="preserve"> </w:t>
      </w:r>
      <w:hyperlink w:anchor="sec-dependency-ratio">
        <w:r>
          <w:rPr>
            <w:rStyle w:val="Hyperlink"/>
          </w:rPr>
          <w:t xml:space="preserve">Section 2.1</w:t>
        </w:r>
      </w:hyperlink>
      <w:r>
        <w:t xml:space="preserve"> </w:t>
      </w:r>
      <w:r>
        <w:t xml:space="preserve">and the projected status for several countries is shown in</w:t>
      </w:r>
      <w:r>
        <w:t xml:space="preserve"> </w:t>
      </w:r>
      <w:hyperlink w:anchor="sec-world-tour">
        <w:r>
          <w:rPr>
            <w:rStyle w:val="Hyperlink"/>
          </w:rPr>
          <w:t xml:space="preserve">Section 3</w:t>
        </w:r>
      </w:hyperlink>
      <w:r>
        <w:t xml:space="preserve">.</w:t>
      </w:r>
    </w:p>
    <w:bookmarkStart w:id="27" w:name="sec-dependency-ratio"/>
    <w:p>
      <w:pPr>
        <w:pStyle w:val="Heading2"/>
      </w:pPr>
      <w:r>
        <w:t xml:space="preserve">2.1 Dependency ratio</w:t>
      </w:r>
    </w:p>
    <w:p>
      <w:pPr>
        <w:pStyle w:val="FirstParagraph"/>
      </w:pPr>
      <w:r>
        <w:t xml:space="preserve">Demographers use a metric called</w:t>
      </w:r>
      <w:r>
        <w:t xml:space="preserve"> </w:t>
      </w:r>
      <w:r>
        <w:rPr>
          <w:bCs/>
          <w:b/>
        </w:rPr>
        <w:t xml:space="preserve">Dependency Ratio</w:t>
      </w:r>
      <w:r>
        <w:t xml:space="preserve"> </w:t>
      </w:r>
      <w:r>
        <w:t xml:space="preserve">(</w:t>
      </w:r>
      <w:hyperlink w:anchor="eq-dep-ratio">
        <w:r>
          <w:rPr>
            <w:rStyle w:val="Hyperlink"/>
          </w:rPr>
          <w:t xml:space="preserve">Equation 1</w:t>
        </w:r>
      </w:hyperlink>
      <w:r>
        <w:t xml:space="preserve">) to evaluate how many non-working people are supported by 100 working people.</w:t>
      </w:r>
    </w:p>
    <w:p>
      <w:pPr>
        <w:pStyle w:val="BodyText"/>
      </w:pPr>
      <w:bookmarkStart w:id="26" w:name="eq-dep-ratio"/>
      <m:oMathPara>
        <m:oMathParaPr>
          <m:jc m:val="center"/>
        </m:oMathParaPr>
        <m:oMath>
          <m:r>
            <m:rPr>
              <m:nor/>
              <m:sty m:val="p"/>
            </m:rPr>
            <m:t>Dependency Ratio</m:t>
          </m:r>
          <m:r>
            <m:rPr>
              <m:sty m:val="p"/>
            </m:rPr>
            <m:t>=</m:t>
          </m:r>
          <m:r>
            <m:t>100</m:t>
          </m:r>
          <m:r>
            <m:rPr>
              <m:sty m:val="p"/>
            </m:rPr>
            <m:t>×</m:t>
          </m:r>
          <m:f>
            <m:fPr>
              <m:type m:val="bar"/>
            </m:fPr>
            <m:num>
              <m:r>
                <m:rPr>
                  <m:nor/>
                  <m:sty m:val="p"/>
                </m:rPr>
                <m:t>Non-working population</m:t>
              </m:r>
            </m:num>
            <m:den>
              <m:r>
                <m:rPr>
                  <m:nor/>
                  <m:sty m:val="p"/>
                </m:rPr>
                <m:t>Working population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bookmarkEnd w:id="27"/>
    <w:bookmarkEnd w:id="28"/>
    <w:bookmarkStart w:id="71" w:name="sec-world-tour"/>
    <w:p>
      <w:pPr>
        <w:pStyle w:val="Heading1"/>
      </w:pPr>
      <w:r>
        <w:t xml:space="preserve">3. World tour</w:t>
      </w:r>
    </w:p>
    <w:p>
      <w:pPr>
        <w:pStyle w:val="FirstParagraph"/>
      </w:pPr>
      <w:r>
        <w:t xml:space="preserve">In the figures below, I further decompose the dependency ratio into Young (0-20 years-old), Old (65-79 years-old) and Very Old (80+ years-old).</w:t>
      </w:r>
      <w:r>
        <w:t xml:space="preserve"> </w:t>
      </w:r>
      <w:r>
        <w:t xml:space="preserve">Note that Young, Old and Very Old are terms used by demographers.</w:t>
      </w:r>
    </w:p>
    <w:p>
      <w:pPr>
        <w:pStyle w:val="BodyText"/>
      </w:pPr>
      <w:r>
        <w:t xml:space="preserve">I don’t mean any personal judgment when using this classification of</w:t>
      </w:r>
      <w:r>
        <w:t xml:space="preserve"> </w:t>
      </w:r>
      <w:r>
        <w:t xml:space="preserve">“</w:t>
      </w:r>
      <w:r>
        <w:t xml:space="preserve">young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old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very old</w:t>
      </w:r>
      <w:r>
        <w:t xml:space="preserve">”</w:t>
      </w:r>
      <w:r>
        <w:t xml:space="preserve">. One of my favorite writers,</w:t>
      </w:r>
      <w:r>
        <w:t xml:space="preserve"> </w:t>
      </w:r>
      <w:r>
        <w:t xml:space="preserve">Jared Diamond, who wrote</w:t>
      </w:r>
      <w:r>
        <w:t xml:space="preserve"> </w:t>
      </w:r>
      <w:r>
        <w:rPr>
          <w:iCs/>
          <w:i/>
        </w:rPr>
        <w:t xml:space="preserve">Guns, Germs and Steel</w:t>
      </w:r>
      <w:r>
        <w:rPr>
          <w:vertAlign w:val="superscript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Collapse</w:t>
      </w:r>
      <w:r>
        <w:rPr>
          <w:vertAlign w:val="superscript"/>
        </w:rPr>
        <w:t xml:space="preserve">2</w:t>
      </w:r>
      <w:r>
        <w:t xml:space="preserve">, is currently 84-years old and I hope to have his</w:t>
      </w:r>
      <w:r>
        <w:t xml:space="preserve"> </w:t>
      </w:r>
      <w:r>
        <w:t xml:space="preserve">disposition at that age.</w:t>
      </w:r>
    </w:p>
    <w:p>
      <w:r>
        <w:br w:type="page"/>
      </w:r>
    </w:p>
    <w:bookmarkStart w:id="35" w:name="age-and-population-pyramids-for-italy"/>
    <w:p>
      <w:pPr>
        <w:pStyle w:val="Heading2"/>
      </w:pPr>
      <w:r>
        <w:t xml:space="preserve">3.1 Age and Population Pyramids for Italy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article_files/figure-docx/cell-5-output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article_files/figure-docx/cell-5-output-7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42" w:name="age-and-population-pyramids-for-china"/>
    <w:p>
      <w:pPr>
        <w:pStyle w:val="Heading2"/>
      </w:pPr>
      <w:r>
        <w:t xml:space="preserve">3.2 Age and Population Pyramids for China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article_files/figure-docx/cell-5-output-1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article_files/figure-docx/cell-5-output-1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Start w:id="49" w:name="age-and-population-pyramids-for-brazil"/>
    <w:p>
      <w:pPr>
        <w:pStyle w:val="Heading2"/>
      </w:pPr>
      <w:r>
        <w:t xml:space="preserve">3.3 Age and Population Pyramids for Brazil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44" name="Picture"/>
            <a:graphic>
              <a:graphicData uri="http://schemas.openxmlformats.org/drawingml/2006/picture">
                <pic:pic>
                  <pic:nvPicPr>
                    <pic:cNvPr descr="article_files/figure-docx/cell-5-output-22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article_files/figure-docx/cell-5-output-25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9"/>
    <w:bookmarkStart w:id="56" w:name="age-and-population-pyramids-for-india"/>
    <w:p>
      <w:pPr>
        <w:pStyle w:val="Heading2"/>
      </w:pPr>
      <w:r>
        <w:t xml:space="preserve">3.4 Age and Population Pyramids for India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1" name="Picture"/>
            <a:graphic>
              <a:graphicData uri="http://schemas.openxmlformats.org/drawingml/2006/picture">
                <pic:pic>
                  <pic:nvPicPr>
                    <pic:cNvPr descr="article_files/figure-docx/cell-5-output-3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38700" cy="3187700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article_files/figure-docx/cell-5-output-34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3" w:name="age-and-population-pyramids-for-japan"/>
    <w:p>
      <w:pPr>
        <w:pStyle w:val="Heading2"/>
      </w:pPr>
      <w:r>
        <w:t xml:space="preserve">3.5 Age and Population Pyramids for Japan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article_files/figure-docx/cell-5-output-4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813300" cy="318770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article_files/figure-docx/cell-5-output-4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70" w:name="age-and-population-pyramids-for-nigeria"/>
    <w:p>
      <w:pPr>
        <w:pStyle w:val="Heading2"/>
      </w:pPr>
      <w:r>
        <w:t xml:space="preserve">3.6 Age and Population Pyramids for Nigeria</w:t>
      </w:r>
    </w:p>
    <w:p>
      <w:pPr>
        <w:pStyle w:val="FirstParagraph"/>
      </w:pPr>
      <w:r>
        <w:drawing>
          <wp:inline>
            <wp:extent cx="5029200" cy="3403600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article_files/figure-docx/cell-5-output-49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40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4965700" cy="3187700"/>
            <wp:effectExtent b="0" l="0" r="0" t="0"/>
            <wp:docPr descr="" title="" id="68" name="Picture"/>
            <a:graphic>
              <a:graphicData uri="http://schemas.openxmlformats.org/drawingml/2006/picture">
                <pic:pic>
                  <pic:nvPicPr>
                    <pic:cNvPr descr="article_files/figure-docx/cell-5-output-5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5700" cy="318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bookmarkEnd w:id="70"/>
    <w:bookmarkEnd w:id="71"/>
    <w:bookmarkStart w:id="75" w:name="references"/>
    <w:p>
      <w:pPr>
        <w:pStyle w:val="Heading1"/>
      </w:pPr>
      <w:r>
        <w:t xml:space="preserve">4. References</w:t>
      </w:r>
    </w:p>
    <w:bookmarkStart w:id="74" w:name="refs"/>
    <w:bookmarkStart w:id="72" w:name="ref-diamond97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Guns, germs, and steel</w:t>
      </w:r>
      <w:r>
        <w:t xml:space="preserve">. (WW Norton Publishing, 1997).</w:t>
      </w:r>
    </w:p>
    <w:bookmarkEnd w:id="72"/>
    <w:bookmarkStart w:id="73" w:name="ref-diamond11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Diamond, J.</w:t>
      </w:r>
      <w:r>
        <w:t xml:space="preserve"> </w:t>
      </w:r>
      <w:r>
        <w:rPr>
          <w:iCs/>
          <w:i/>
        </w:rPr>
        <w:t xml:space="preserve">Collapse: How societies choose to fail or succeed: Revised edition</w:t>
      </w:r>
      <w:r>
        <w:t xml:space="preserve">. (Penguin, 2011).</w:t>
      </w:r>
    </w:p>
    <w:bookmarkEnd w:id="73"/>
    <w:bookmarkEnd w:id="74"/>
    <w:bookmarkEnd w:id="7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29" Target="media/rId29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32" Target="media/rId32.png" /><Relationship Type="http://schemas.openxmlformats.org/officeDocument/2006/relationships/image" Id="rId22" Target="media/rId22.png" /><Relationship Type="http://schemas.openxmlformats.org/officeDocument/2006/relationships/hyperlink" Id="rId20" Target="https://www.meyerperin.com/using-quarto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meyerperin.com/using-quart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Using Quarto for reproducible article writing</dc:title>
  <dc:creator>Lucas A. Meyer</dc:creator>
  <cp:keywords/>
  <dcterms:created xsi:type="dcterms:W3CDTF">2022-07-04T20:26:02Z</dcterms:created>
  <dcterms:modified xsi:type="dcterms:W3CDTF">2022-07-04T20:26:02Z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csl">
    <vt:lpwstr>nature.csl</vt:lpwstr>
  </property>
  <property fmtid="{D5CDD505-2E9C-101B-9397-08002B2CF9AE}" pid="7" name="date">
    <vt:lpwstr>2022-07-07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