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23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2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these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t xml:space="preserve"> </w:t>
      </w:r>
      <w:r>
        <w:t xml:space="preserve">[@diamond84]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t xml:space="preserve"> </w:t>
      </w:r>
      <w:r>
        <w:t xml:space="preserve">[@diamond13]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End w:id="22"/>
    <w:bookmarkStart w:id="65" w:name="code"/>
    <w:p>
      <w:pPr>
        <w:pStyle w:val="Heading1"/>
      </w:pPr>
      <w:r>
        <w:t xml:space="preserve">3. Code</w:t>
      </w:r>
    </w:p>
    <w:bookmarkStart w:id="29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4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66" w:name="references"/>
    <w:p>
      <w:pPr>
        <w:pStyle w:val="Heading1"/>
      </w:pPr>
      <w:r>
        <w:t xml:space="preserve">4. References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2022-07-01T23:06:54Z</dcterms:created>
  <dcterms:modified xsi:type="dcterms:W3CDTF">2022-07-01T23:06:54Z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2022-07-07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