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2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$$</w:t>
      </w:r>
    </w:p>
    <w:bookmarkEnd w:id="22"/>
    <w:bookmarkStart w:id="26" w:name="code"/>
    <w:p>
      <w:pPr>
        <w:pStyle w:val="Heading1"/>
      </w:pPr>
      <w:r>
        <w:t xml:space="preserve">3.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517900" cy="34163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rticle_files/figure-docx/cell-3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conclusion"/>
    <w:p>
      <w:pPr>
        <w:pStyle w:val="Heading1"/>
      </w:pPr>
      <w:r>
        <w:t xml:space="preserve">4. Conclusion</w:t>
      </w:r>
    </w:p>
    <w:p>
      <w:pPr>
        <w:pStyle w:val="FirstParagraph"/>
      </w:pPr>
      <w:r>
        <w:t xml:space="preserve">This is where things end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2022-07-01T22:46:29Z</dcterms:created>
  <dcterms:modified xsi:type="dcterms:W3CDTF">2022-07-01T22:46:29Z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2022-07-07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