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1508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liar_logo_vis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508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DOSSIÊ INSTITUCIONAL E ESTRATÉGICO</w:t>
      </w:r>
    </w:p>
    <w:p>
      <w:r>
        <w:t>Papeliar Papelaria | Empresa fictícia | Outubro de 2026</w:t>
      </w:r>
    </w:p>
    <w:p>
      <w:pPr>
        <w:pStyle w:val="Subtitle"/>
      </w:pPr>
      <w:r>
        <w:t>Mais que papel, ideias para o seu futuro.</w:t>
      </w:r>
    </w:p>
    <w:p>
      <w:r>
        <w:drawing>
          <wp:inline xmlns:a="http://schemas.openxmlformats.org/drawingml/2006/main" xmlns:pic="http://schemas.openxmlformats.org/drawingml/2006/picture">
            <wp:extent cx="6035040" cy="11895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liar_loj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189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Nota: a empresa, os clientes, contratos, preços e dados financeiros deste documento são inteiramente fictícios.</w:t>
      </w:r>
    </w:p>
    <w:p>
      <w:r>
        <w:br w:type="page"/>
      </w:r>
    </w:p>
    <w:p>
      <w:pPr>
        <w:pStyle w:val="Heading1"/>
      </w:pPr>
      <w:r>
        <w:t>01 | Origem e proposta de valor</w:t>
      </w:r>
    </w:p>
    <w:p>
      <w:r>
        <w:t>A Papeliar nasceu, em 2018, da ideia de três profissionais que enxergavam na papelaria mais do que</w:t>
      </w:r>
    </w:p>
    <w:p>
      <w:r>
        <w:t>materiais de consumo: ferramentas de educação, criatividade e organização. A operação começou como</w:t>
      </w:r>
    </w:p>
    <w:p>
      <w:r>
        <w:t>uma pequena loja de bairro em Recife, com atendimento personalizado e kits escolares preparados sob</w:t>
      </w:r>
    </w:p>
    <w:p>
      <w:r>
        <w:t>encomenda.</w:t>
      </w:r>
    </w:p>
    <w:p>
      <w:r>
        <w:t>Em 2020, a empresa iniciou vendas digitais; em 2022, criou uma frente exclusiva para escolas e</w:t>
      </w:r>
    </w:p>
    <w:p>
      <w:r>
        <w:t>escritórios; e, em 2025, estruturou um centro de distribuição regional. No cenário de 2026, opera uma loja</w:t>
      </w:r>
    </w:p>
    <w:p>
      <w:r>
        <w:t>principal, um e-commerce próprio e um canal corporativo B2B.</w:t>
      </w:r>
    </w:p>
    <w:p>
      <w:pPr>
        <w:pStyle w:val="Heading2"/>
      </w:pPr>
      <w:r>
        <w:t>O que fazemos</w:t>
      </w:r>
    </w:p>
    <w:p>
      <w:r>
        <w:t>Comercializamos materiais escolares, itens de escritório, soluções de organização, suprimentos para</w:t>
      </w:r>
    </w:p>
    <w:p>
      <w:r>
        <w:t>informática e produtos para atividades artísticas. Também oferecemos montagem de kits, personalização</w:t>
      </w:r>
    </w:p>
    <w:p>
      <w:r>
        <w:t>básica e contratos recorrentes de abastecimento.</w:t>
      </w:r>
    </w:p>
    <w:p>
      <w:pPr>
        <w:pStyle w:val="Heading2"/>
      </w:pPr>
      <w:r>
        <w:t>Diferenciais competitivos</w:t>
      </w:r>
    </w:p>
    <w:p>
      <w:r>
        <w:t>Curadoria de produtos, kits por perfil de cliente, catálogo corporativo, previsibilidade de reposição,</w:t>
      </w:r>
    </w:p>
    <w:p>
      <w:r>
        <w:t>atendimento omnicanal e práticas de redução de desperdícios.</w:t>
      </w:r>
    </w:p>
    <w:p>
      <w:pPr>
        <w:pStyle w:val="Heading2"/>
      </w:pPr>
      <w:r>
        <w:t>Públicos prioritários</w:t>
      </w:r>
    </w:p>
    <w:p>
      <w:pPr>
        <w:pStyle w:val="Heading2"/>
      </w:pPr>
      <w:r>
        <w:t>Segmento Necessidade atendida</w:t>
      </w:r>
    </w:p>
    <w:p>
      <w:r>
        <w:t>Estudantes e famílias Materiais acessíveis, kits e reposição durante o ano letivo</w:t>
      </w:r>
    </w:p>
    <w:p>
      <w:r>
        <w:t>Escolas e cursos Compra em lote, entregas programadas e padronização de itens</w:t>
      </w:r>
    </w:p>
    <w:p>
      <w:r>
        <w:t>Empresas e escritórios Suprimentos recorrentes, controle de consumo e faturamento mensal</w:t>
      </w:r>
    </w:p>
    <w:p>
      <w:r>
        <w:t>Profissionais criativos Materiais artísticos, cadernos especiais e organização</w:t>
      </w:r>
    </w:p>
    <w:p>
      <w:r>
        <w:br w:type="page"/>
      </w:r>
    </w:p>
    <w:p>
      <w:pPr>
        <w:pStyle w:val="Heading1"/>
      </w:pPr>
      <w:r>
        <w:t>02 | Portfólio de produtos</w:t>
      </w:r>
    </w:p>
    <w:p>
      <w:r>
        <w:t>Linha de produtos ilustrativa. As imagens são representações visuais conceituais e os valores são preços</w:t>
      </w:r>
    </w:p>
    <w:p>
      <w:r>
        <w:t>de referência simulados para o site.</w:t>
      </w:r>
    </w:p>
    <w:p>
      <w:pPr>
        <w:pStyle w:val="Heading2"/>
      </w:pPr>
      <w:r>
        <w:t>Cadernos e agendas</w:t>
      </w:r>
    </w:p>
    <w:p>
      <w:r>
        <w:t>R$ 18 a R$ 69</w:t>
      </w:r>
    </w:p>
    <w:p>
      <w:pPr>
        <w:pStyle w:val="Heading2"/>
      </w:pPr>
      <w:r>
        <w:t>Canetas e marcadores</w:t>
      </w:r>
    </w:p>
    <w:p>
      <w:r>
        <w:t>R$ 4 a R$ 29</w:t>
      </w:r>
    </w:p>
    <w:p>
      <w:pPr>
        <w:pStyle w:val="Heading2"/>
      </w:pPr>
      <w:r>
        <w:t>Pastas e</w:t>
      </w:r>
    </w:p>
    <w:p>
      <w:r>
        <w:t>organizadores</w:t>
      </w:r>
    </w:p>
    <w:p>
      <w:r>
        <w:t>R$ 12 a R$ 48</w:t>
      </w:r>
    </w:p>
    <w:p>
      <w:pPr>
        <w:pStyle w:val="Heading2"/>
      </w:pPr>
      <w:r>
        <w:t>Papéis e blocos</w:t>
      </w:r>
    </w:p>
    <w:p>
      <w:r>
        <w:t>R$ 9 a R$ 55</w:t>
      </w:r>
    </w:p>
    <w:p>
      <w:pPr>
        <w:pStyle w:val="Heading2"/>
      </w:pPr>
      <w:r>
        <w:t>Mochilas e estojos</w:t>
      </w:r>
    </w:p>
    <w:p>
      <w:r>
        <w:t>R$ 39 a R$ 189</w:t>
      </w:r>
    </w:p>
    <w:p>
      <w:pPr>
        <w:pStyle w:val="Heading2"/>
      </w:pPr>
      <w:r>
        <w:t>Materiais artísticos</w:t>
      </w:r>
    </w:p>
    <w:p>
      <w:r>
        <w:t>R$ 8 a R$ 95</w:t>
      </w:r>
    </w:p>
    <w:p>
      <w:pPr>
        <w:pStyle w:val="Heading2"/>
      </w:pPr>
      <w:r>
        <w:t>Suprimentos de</w:t>
      </w:r>
    </w:p>
    <w:p>
      <w:r>
        <w:t>escritório</w:t>
      </w:r>
    </w:p>
    <w:p>
      <w:r>
        <w:t>R$ 6 a R$ 135</w:t>
      </w:r>
    </w:p>
    <w:p>
      <w:pPr>
        <w:pStyle w:val="Heading2"/>
      </w:pPr>
      <w:r>
        <w:t>Informática e</w:t>
      </w:r>
    </w:p>
    <w:p>
      <w:r>
        <w:t>acessórios</w:t>
      </w:r>
    </w:p>
    <w:p>
      <w:r>
        <w:t>R$ 25 a R$ 220</w:t>
      </w:r>
    </w:p>
    <w:p>
      <w:pPr>
        <w:pStyle w:val="Heading2"/>
      </w:pPr>
      <w:r>
        <w:t>Serviços complementares</w:t>
      </w:r>
    </w:p>
    <w:p>
      <w:r>
        <w:t>Montagem de kits escolares (a partir de R$ 49, sem incluir todos os materiais), personalização de capas,</w:t>
      </w:r>
    </w:p>
    <w:p>
      <w:r>
        <w:t>venda de kits corporativos e assinaturas mensais de escritório.</w:t>
      </w:r>
    </w:p>
    <w:p>
      <w:pPr>
        <w:pStyle w:val="Heading2"/>
      </w:pPr>
      <w:r>
        <w:t>Galeria de produtos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17043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to_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70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9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17043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to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70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97"/>
          </w:tcPr>
          <w:p>
            <w:pPr>
              <w:jc w:val="center"/>
            </w:pPr>
            <w:r>
              <w:t>Cadernos e agendas</w:t>
            </w:r>
          </w:p>
        </w:tc>
        <w:tc>
          <w:tcPr>
            <w:tcW w:type="dxa" w:w="4997"/>
          </w:tcPr>
          <w:p>
            <w:pPr>
              <w:jc w:val="center"/>
            </w:pPr>
            <w:r>
              <w:t>Canetas e marcadores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17043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to_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70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9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17043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to_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70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97"/>
          </w:tcPr>
          <w:p>
            <w:pPr>
              <w:jc w:val="center"/>
            </w:pPr>
            <w:r>
              <w:t>Pastas e organizadores</w:t>
            </w:r>
          </w:p>
        </w:tc>
        <w:tc>
          <w:tcPr>
            <w:tcW w:type="dxa" w:w="4997"/>
          </w:tcPr>
          <w:p>
            <w:pPr>
              <w:jc w:val="center"/>
            </w:pPr>
            <w:r>
              <w:t>Papéis e blocos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17043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to_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70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9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17043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to_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70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97"/>
          </w:tcPr>
          <w:p>
            <w:pPr>
              <w:jc w:val="center"/>
            </w:pPr>
            <w:r>
              <w:t>Mochilas e estojos</w:t>
            </w:r>
          </w:p>
        </w:tc>
        <w:tc>
          <w:tcPr>
            <w:tcW w:type="dxa" w:w="4997"/>
          </w:tcPr>
          <w:p>
            <w:pPr>
              <w:jc w:val="center"/>
            </w:pPr>
            <w:r>
              <w:t>Materiais artísticos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17043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to_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70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9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17043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to_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70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97"/>
          </w:tcPr>
          <w:p>
            <w:pPr>
              <w:jc w:val="center"/>
            </w:pPr>
            <w:r>
              <w:t>Suprimentos de escritório</w:t>
            </w:r>
          </w:p>
        </w:tc>
        <w:tc>
          <w:tcPr>
            <w:tcW w:type="dxa" w:w="4997"/>
          </w:tcPr>
          <w:p>
            <w:pPr>
              <w:jc w:val="center"/>
            </w:pPr>
            <w:r>
              <w:t>Informática e acessórios</w:t>
            </w:r>
          </w:p>
        </w:tc>
      </w:tr>
    </w:tbl>
    <w:p/>
    <w:p>
      <w:r>
        <w:br w:type="page"/>
      </w:r>
    </w:p>
    <w:p>
      <w:pPr>
        <w:pStyle w:val="Heading1"/>
      </w:pPr>
      <w:r>
        <w:t>03 | Missão, visão e valores</w:t>
      </w:r>
    </w:p>
    <w:p>
      <w:r>
        <w:t>PILAR DECLARAÇÃO</w:t>
      </w:r>
    </w:p>
    <w:p>
      <w:r>
        <w:t>Missão Facilitar o aprendizado, o trabalho e a criatividade por meio de materiais confiáveis, acessíveis e soluções práticas.</w:t>
      </w:r>
    </w:p>
    <w:p>
      <w:r>
        <w:t>Visão 2030 Ser referência regional em papelaria omnicanal no Nordeste, reconhecida por atendimento, inovação e operações responsáveis.</w:t>
      </w:r>
    </w:p>
    <w:p>
      <w:r>
        <w:t>Valores Ética e transparência; respeito às pessoas; foco no cliente; qualidade; criatividade; inclusão; sustentabilidade; melhoria contínua.</w:t>
      </w:r>
    </w:p>
    <w:p>
      <w:pPr>
        <w:pStyle w:val="Heading2"/>
      </w:pPr>
      <w:r>
        <w:t>Objetivos estratégicos até 2028</w:t>
      </w:r>
    </w:p>
    <w:p>
      <w:r>
        <w:t>Elevar a participação digital nas vendas de 28% para 38%; ampliar a carteira B2B para 240 contas ativas;</w:t>
      </w:r>
    </w:p>
    <w:p>
      <w:r>
        <w:t>manter o prazo de expedição em até 24 horas úteis para pedidos disponíveis em estoque; e reduzir em</w:t>
      </w:r>
    </w:p>
    <w:p>
      <w:r>
        <w:t>20% a geração de resíduos por pedido em relação a 2026.</w:t>
      </w:r>
    </w:p>
    <w:p>
      <w:pPr>
        <w:pStyle w:val="Heading1"/>
      </w:pPr>
      <w:r>
        <w:t>04 | Recursos e desenvolvimento</w:t>
      </w:r>
    </w:p>
    <w:p>
      <w:r>
        <w:t>RECURSO SITUAÇÃO E EVOLUÇÃO EM 2026</w:t>
      </w:r>
    </w:p>
    <w:p>
      <w:r>
        <w:t>Humanos 120 colaboradores; trilha de capacitação trimestral; avaliação semestral; treinamento em atendimento, segurança e uso de sistemas.</w:t>
      </w:r>
    </w:p>
    <w:p>
      <w:r>
        <w:t>Materiais Loja, centro de distribuição de 1.600 m², prateleiras, coletores, estações de separação, equipamentos de TI e estoque categorizado.</w:t>
      </w:r>
    </w:p>
    <w:p>
      <w:r>
        <w:t>Financeiros Capital de giro, reservas de caixa e linha de crédito rotativa contratada de forma simulada; orçamento anual e acompanhamento mensal de indicadores.</w:t>
      </w:r>
    </w:p>
    <w:p>
      <w:r>
        <w:t>Intangíveis Marca Papeliar, relacionamento com escolas e empresas, catálogo digital, processos internos, conhecimento da equipe e dados de demanda.</w:t>
      </w:r>
    </w:p>
    <w:p>
      <w:r>
        <w:br w:type="page"/>
      </w:r>
    </w:p>
    <w:p>
      <w:pPr>
        <w:pStyle w:val="Heading1"/>
      </w:pPr>
      <w:r>
        <w:t>05 | Pessoas e estrutura organizacional</w:t>
      </w:r>
    </w:p>
    <w:p>
      <w:r>
        <w:t>A empresa conta com 120 funcionários, distribuídos entre operação, comercial, suporte e gestão. A</w:t>
      </w:r>
    </w:p>
    <w:p>
      <w:r>
        <w:t>diretoria coordena metas, riscos, orçamento e qualidade do atendimento.</w:t>
      </w:r>
    </w:p>
    <w:p>
      <w:pPr>
        <w:pStyle w:val="Heading2"/>
      </w:pPr>
      <w:r>
        <w:t>ÁREA PESSOAS ATRIBUIÇÕES CENTRAIS</w:t>
      </w:r>
    </w:p>
    <w:p>
      <w:r>
        <w:t>Operações, estoque e logística 35 Recebimento, armazenagem, separação, entregas e inventários</w:t>
      </w:r>
    </w:p>
    <w:p>
      <w:r>
        <w:t>Comercial e vendas 25 Loja física, contas corporativas, pós-venda e conversão</w:t>
      </w:r>
    </w:p>
    <w:p>
      <w:r>
        <w:t>Financeiro e controladoria 15 Tesouraria, cobrança, custos, orçamento e controles</w:t>
      </w:r>
    </w:p>
    <w:p>
      <w:r>
        <w:t>Atendimento ao cliente 15 SAC, trocas, suporte a pedidos e satisfação</w:t>
      </w:r>
    </w:p>
    <w:p>
      <w:r>
        <w:t>Marketing e e-commerce 10 Aquisição, campanhas, conteúdo, CRM e loja digital</w:t>
      </w:r>
    </w:p>
    <w:p>
      <w:r>
        <w:t>Recursos humanos 10 Seleção, integração, treinamento, cultura e desempenho</w:t>
      </w:r>
    </w:p>
    <w:p>
      <w:r>
        <w:t>Tecnologia da informação 10 ERP, sistemas, segurança, suporte e automações</w:t>
      </w:r>
    </w:p>
    <w:p>
      <w:r>
        <w:t>TOTAL 120 Estrutura total simulada</w:t>
      </w:r>
    </w:p>
    <w:p>
      <w:pPr>
        <w:pStyle w:val="Heading2"/>
      </w:pPr>
      <w:r>
        <w:t>Indicadores de gestão de pessoas (metas internas)</w:t>
      </w:r>
    </w:p>
    <w:p>
      <w:r>
        <w:t>Rotatividade anual inferior a 14%; pelo menos 24 horas de treinamento por colaborador por ano; pesquisa</w:t>
      </w:r>
    </w:p>
    <w:p>
      <w:r>
        <w:t>de clima semestral com 80% de favorabilidade; plano de desenvolvimento para todas as lideranças.</w:t>
      </w:r>
    </w:p>
    <w:p>
      <w:pPr>
        <w:pStyle w:val="Heading2"/>
      </w:pPr>
      <w:r>
        <w:t>Modelo de gestão</w:t>
      </w:r>
    </w:p>
    <w:p>
      <w:r>
        <w:t>Reunião semanal das lideranças, painel mensal de indicadores, orçamento por centro de custo e ciclo</w:t>
      </w:r>
    </w:p>
    <w:p>
      <w:r>
        <w:t>trimestral de prioridades. Os gestores respondem por metas de qualidade, produtividade e</w:t>
      </w:r>
    </w:p>
    <w:p>
      <w:r>
        <w:t>desenvolvimento de equipe.</w:t>
      </w:r>
    </w:p>
    <w:p>
      <w:r>
        <w:br w:type="page"/>
      </w:r>
    </w:p>
    <w:p>
      <w:pPr>
        <w:pStyle w:val="Heading1"/>
      </w:pPr>
      <w:r>
        <w:t>06 | Setores: desempenho e fatores críticos</w:t>
      </w:r>
    </w:p>
    <w:p>
      <w:pPr>
        <w:pStyle w:val="Heading2"/>
      </w:pPr>
      <w:r>
        <w:t>SETOR INDICADOR/META FATORES DE DESEMPENHO</w:t>
      </w:r>
    </w:p>
    <w:p>
      <w:r>
        <w:t>Comercial Conversão em loja 27%; vendas B2B recorrentes 65%</w:t>
      </w:r>
    </w:p>
    <w:p>
      <w:pPr>
        <w:pStyle w:val="Heading2"/>
      </w:pPr>
      <w:r>
        <w:t>Mix, negociação, relacionamento e demanda sazonal</w:t>
      </w:r>
    </w:p>
    <w:p>
      <w:r>
        <w:t>Marketing e e-commerce Receita digital 28% do total; CAC sob controle</w:t>
      </w:r>
    </w:p>
    <w:p>
      <w:pPr>
        <w:pStyle w:val="Heading2"/>
      </w:pPr>
      <w:r>
        <w:t>Tráfego, campanhas, experiência do site e retenção</w:t>
      </w:r>
    </w:p>
    <w:p>
      <w:r>
        <w:t>Operações e logística 95% dos pedidos expedidos em até 24h úteis</w:t>
      </w:r>
    </w:p>
    <w:p>
      <w:pPr>
        <w:pStyle w:val="Heading2"/>
      </w:pPr>
      <w:r>
        <w:t>Acuracidade do estoque, layout e transportadoras</w:t>
      </w:r>
    </w:p>
    <w:p>
      <w:r>
        <w:t>Financeiro Margem líquida 9,6%; inadimplência abaixo de 2%</w:t>
      </w:r>
    </w:p>
    <w:p>
      <w:pPr>
        <w:pStyle w:val="Heading2"/>
      </w:pPr>
      <w:r>
        <w:t>Precificação, custos fixos, crédito e fluxo de caixa</w:t>
      </w:r>
    </w:p>
    <w:p>
      <w:r>
        <w:t>Atendimento Satisfação média-alvo 90/100 Tempo de resposta, solução no primeiro contato</w:t>
      </w:r>
    </w:p>
    <w:p>
      <w:r>
        <w:t>RH Treinamento mínimo 24 h/ano por pessoa</w:t>
      </w:r>
    </w:p>
    <w:p>
      <w:pPr>
        <w:pStyle w:val="Heading2"/>
      </w:pPr>
      <w:r>
        <w:t>Clima, retenção e formação de lideranças</w:t>
      </w:r>
    </w:p>
    <w:p>
      <w:r>
        <w:t>TI Disponibilidade do e-commerce 99,5%</w:t>
      </w:r>
    </w:p>
    <w:p>
      <w:pPr>
        <w:pStyle w:val="Heading2"/>
      </w:pPr>
      <w:r>
        <w:t>Segurança, integração de sistemas e suporte</w:t>
      </w:r>
    </w:p>
    <w:p>
      <w:pPr>
        <w:pStyle w:val="Heading2"/>
      </w:pPr>
      <w:r>
        <w:t>Como os setores trabalham juntos</w:t>
      </w:r>
    </w:p>
    <w:p>
      <w:r>
        <w:t>O marketing gera demanda e informa previsões ao comercial. Compras e operações traduzem essa</w:t>
      </w:r>
    </w:p>
    <w:p>
      <w:r>
        <w:t>demanda em estoque e abastecimento. TI integra pedidos, pagamentos e expedição. O financeiro</w:t>
      </w:r>
    </w:p>
    <w:p>
      <w:r>
        <w:t>monitora margem e capital de giro; o RH mantém equipes preparadas; e o atendimento devolve feedback</w:t>
      </w:r>
    </w:p>
    <w:p>
      <w:r>
        <w:t>para melhorias.</w:t>
      </w:r>
    </w:p>
    <w:p>
      <w:pPr>
        <w:pStyle w:val="Heading2"/>
      </w:pPr>
      <w:r>
        <w:t>Riscos prioritários</w:t>
      </w:r>
    </w:p>
    <w:p>
      <w:r>
        <w:t>Sazonalidade da volta às aulas; oscilações no preço do papel; concentração em fornecedores; rupturas de</w:t>
      </w:r>
    </w:p>
    <w:p>
      <w:r>
        <w:t>estoque; atrasos logísticos; incidentes digitais e inadimplência corporativa. Planos de mitigação incluem</w:t>
      </w:r>
    </w:p>
    <w:p>
      <w:r>
        <w:t>estoque de segurança, homologação de fornecedores e monitoramento semanal.</w:t>
      </w:r>
    </w:p>
    <w:p>
      <w:r>
        <w:br w:type="page"/>
      </w:r>
    </w:p>
    <w:p>
      <w:pPr>
        <w:pStyle w:val="Heading1"/>
      </w:pPr>
      <w:r>
        <w:t>07 | Logística, abastecimento e distribuição</w:t>
      </w:r>
    </w:p>
    <w:p>
      <w:r>
        <w:t>O centro de distribuição simulado em Recife atende a loja física, o e-commerce e os contratos B2B. O ERP</w:t>
      </w:r>
    </w:p>
    <w:p>
      <w:r>
        <w:t>recebe os pedidos, consulta estoque disponível e encaminha a separação para conferência, embalagem,</w:t>
      </w:r>
    </w:p>
    <w:p>
      <w:r>
        <w:t>faturamento e expedição.</w:t>
      </w:r>
    </w:p>
    <w:p>
      <w:pPr>
        <w:pStyle w:val="Heading2"/>
      </w:pPr>
      <w:r>
        <w:t>ETAPA PROCESSO PADRÃO DE CONTROLE</w:t>
      </w:r>
    </w:p>
    <w:p>
      <w:pPr>
        <w:pStyle w:val="Heading2"/>
      </w:pPr>
      <w:r>
        <w:t>Planejamento de compras</w:t>
      </w:r>
    </w:p>
    <w:p>
      <w:pPr>
        <w:pStyle w:val="Heading2"/>
      </w:pPr>
      <w:r>
        <w:t>Reposição por giro, sazonalidade e previsão comercial</w:t>
      </w:r>
    </w:p>
    <w:p>
      <w:pPr>
        <w:pStyle w:val="Heading2"/>
      </w:pPr>
      <w:r>
        <w:t>Estoque mínimo e calendário escolar</w:t>
      </w:r>
    </w:p>
    <w:p>
      <w:r>
        <w:t>Recebimento Conferência física e fiscal dos materiais Registro de divergências e inspeção</w:t>
      </w:r>
    </w:p>
    <w:p>
      <w:r>
        <w:t>Armazenagem Endereçamento por categoria e giro Inventário cíclico e rastreabilidade</w:t>
      </w:r>
    </w:p>
    <w:p>
      <w:r>
        <w:t>Separação e expedição Picking, packing e emissão de documentos Dupla conferência em pedidos B2B</w:t>
      </w:r>
    </w:p>
    <w:p>
      <w:r>
        <w:t>Entrega Transportadoras regionais e coleta local Acompanhamento e comprovante de entrega</w:t>
      </w:r>
    </w:p>
    <w:p>
      <w:r>
        <w:t>Pós-venda e devoluções Trocas, análise e retorno ao estoque Política de devolução e triagem</w:t>
      </w:r>
    </w:p>
    <w:p>
      <w:pPr>
        <w:pStyle w:val="Heading2"/>
      </w:pPr>
      <w:r>
        <w:t>Prazos simulados</w:t>
      </w:r>
    </w:p>
    <w:p>
      <w:r>
        <w:t>Recife e região metropolitana: 1 a 2 dias úteis após expedição; outras capitais nordestinas: 3 a 6 dias</w:t>
      </w:r>
    </w:p>
    <w:p>
      <w:r>
        <w:t>úteis; demais regiões: conforme transportadora e CEP. Os prazos são estimativas do cenário fictício.</w:t>
      </w:r>
    </w:p>
    <w:p>
      <w:pPr>
        <w:pStyle w:val="Heading2"/>
      </w:pPr>
      <w:r>
        <w:t>Sustentabilidade operacional</w:t>
      </w:r>
    </w:p>
    <w:p>
      <w:r>
        <w:t>Uso de caixas recicláveis, consolidação de entregas, fornecedores com critérios ambientais, controle de</w:t>
      </w:r>
    </w:p>
    <w:p>
      <w:r>
        <w:t>perdas e incentivo ao reaproveitamento de embalagens.</w:t>
      </w:r>
    </w:p>
    <w:p>
      <w:r>
        <w:br w:type="page"/>
      </w:r>
    </w:p>
    <w:p>
      <w:pPr>
        <w:pStyle w:val="Heading1"/>
      </w:pPr>
      <w:r>
        <w:t>08 | Clientes e contratos estratégicos</w:t>
      </w:r>
    </w:p>
    <w:p>
      <w:r>
        <w:t>Todos os nomes e acordos abaixo são inventados para contextualizar a atuação da Papeliar.</w:t>
      </w:r>
    </w:p>
    <w:p>
      <w:pPr>
        <w:pStyle w:val="Heading2"/>
      </w:pPr>
      <w:r>
        <w:t>CLIENTE FICTÍCIO SEGMENTO ESCOPO CONTRATUAL VALOR ANUAL</w:t>
      </w:r>
    </w:p>
    <w:p>
      <w:r>
        <w:t>Colégio Horizonte do Saber Educação Kits e material pedagógico R$ 420 mil</w:t>
      </w:r>
    </w:p>
    <w:p>
      <w:r>
        <w:t>Rede Aprender Mais Ensino privado Fornecimento semestral R$ 360 mil</w:t>
      </w:r>
    </w:p>
    <w:p>
      <w:r>
        <w:t>Grupo Atlas Serviços Escritórios Suprimentos mensais R$ 285 mil</w:t>
      </w:r>
    </w:p>
    <w:p>
      <w:r>
        <w:t>Clínicas BemViver Saúde Materiais administrativos R$ 190 mil</w:t>
      </w:r>
    </w:p>
    <w:p>
      <w:r>
        <w:t>Cooperativa Criar Institucional Itens artísticos e de capacitação R$ 145 mil</w:t>
      </w:r>
    </w:p>
    <w:p>
      <w:r>
        <w:t>Total ilustrativo R$ 1,40 mi</w:t>
      </w:r>
    </w:p>
    <w:p>
      <w:pPr>
        <w:pStyle w:val="Heading2"/>
      </w:pPr>
      <w:r>
        <w:t>Condições comerciais típicas</w:t>
      </w:r>
    </w:p>
    <w:p>
      <w:r>
        <w:t>Contratos de 12 meses, revisão de preços anual por negociação, catálogo de SKUs acordado, pedido</w:t>
      </w:r>
    </w:p>
    <w:p>
      <w:r>
        <w:t>mínimo definido por conta, faturamento em 28 dias sujeito a crédito e cláusulas de confidencialidade e</w:t>
      </w:r>
    </w:p>
    <w:p>
      <w:r>
        <w:t>nível de serviço.</w:t>
      </w:r>
    </w:p>
    <w:p>
      <w:pPr>
        <w:pStyle w:val="Heading2"/>
      </w:pPr>
      <w:r>
        <w:t>Principais parcerias operacionais fictícias</w:t>
      </w:r>
    </w:p>
    <w:p>
      <w:r>
        <w:t>PapelViva Distribuição (papéis e cadernos), ColorMix Brasil (materiais artísticos), EntregaNorte Logística</w:t>
      </w:r>
    </w:p>
    <w:p>
      <w:r>
        <w:t>(transporte regional) e TecMesa Soluções (sistemas e periféricos).</w:t>
      </w:r>
    </w:p>
    <w:p>
      <w:pPr>
        <w:pStyle w:val="Heading2"/>
      </w:pPr>
      <w:r>
        <w:t>Concentração de receita</w:t>
      </w:r>
    </w:p>
    <w:p>
      <w:r>
        <w:t>Os cinco contratos ilustrados representam cerca de 11,2% do faturamento anual de 2026, reduzindo a</w:t>
      </w:r>
    </w:p>
    <w:p>
      <w:r>
        <w:t>dependência de um único cliente. A carteira é completada por consumidores da loja, clientes digitais e</w:t>
      </w:r>
    </w:p>
    <w:p>
      <w:r>
        <w:t>outras empresas.</w:t>
      </w:r>
    </w:p>
    <w:p>
      <w:r>
        <w:br w:type="page"/>
      </w:r>
    </w:p>
    <w:p>
      <w:pPr>
        <w:pStyle w:val="Heading1"/>
      </w:pPr>
      <w:r>
        <w:t>09 | Situação econômico-financeira - 2026</w:t>
      </w:r>
    </w:p>
    <w:p>
      <w:r>
        <w:t>Demonstrativo gerencial inteiramente simulado, em reais, referente ao exercício anual projetado de 2026.</w:t>
      </w:r>
    </w:p>
    <w:p>
      <w:pPr>
        <w:pStyle w:val="Heading2"/>
      </w:pPr>
      <w:r>
        <w:t>Não equivale a balanço auditado.</w:t>
      </w:r>
    </w:p>
    <w:p>
      <w:r>
        <w:t>DEMONSTRAÇÃO DE RESULTADO SIMPLIFICADA 2026 (R$)</w:t>
      </w:r>
    </w:p>
    <w:p>
      <w:r>
        <w:t>Receita bruta de vendas 12.500.000</w:t>
      </w:r>
    </w:p>
    <w:p>
      <w:r>
        <w:t>(-) Tributos sobre vendas, devoluções e descontos (1.250.000)</w:t>
      </w:r>
    </w:p>
    <w:p>
      <w:r>
        <w:t>Receita líquida 11.250.000</w:t>
      </w:r>
    </w:p>
    <w:p>
      <w:r>
        <w:t>(-) Custo das mercadorias vendidas (6.750.000)</w:t>
      </w:r>
    </w:p>
    <w:p>
      <w:r>
        <w:t>Lucro bruto 4.500.000</w:t>
      </w:r>
    </w:p>
    <w:p>
      <w:r>
        <w:t>(-) Despesas operacionais (2.900.000)</w:t>
      </w:r>
    </w:p>
    <w:p>
      <w:r>
        <w:t>Resultado operacional (EBIT) 1.600.000</w:t>
      </w:r>
    </w:p>
    <w:p>
      <w:r>
        <w:t>(-) Resultado financeiro líquido (120.000)</w:t>
      </w:r>
    </w:p>
    <w:p>
      <w:r>
        <w:t>(-) Tributos sobre o lucro (280.000)</w:t>
      </w:r>
    </w:p>
    <w:p>
      <w:r>
        <w:t>Lucro líquido 1.200.000</w:t>
      </w:r>
    </w:p>
    <w:p>
      <w:pPr>
        <w:pStyle w:val="Heading2"/>
      </w:pPr>
      <w:r>
        <w:t>INDICADOR VALOR</w:t>
      </w:r>
    </w:p>
    <w:p>
      <w:r>
        <w:t>Margem bruta / receita líquida 40,0%</w:t>
      </w:r>
    </w:p>
    <w:p>
      <w:r>
        <w:t>Margem líquida / receita bruta 9,6%</w:t>
      </w:r>
    </w:p>
    <w:p>
      <w:r>
        <w:t>Caixa e equivalentes (saldo final) R$ 1,10 milhão</w:t>
      </w:r>
    </w:p>
    <w:p>
      <w:r>
        <w:t>Ativos totais R$ 8,20 milhões</w:t>
      </w:r>
    </w:p>
    <w:p>
      <w:r>
        <w:t>Passivos totais R$ 3,10 milhões</w:t>
      </w:r>
    </w:p>
    <w:p>
      <w:r>
        <w:t>Patrimônio líquido R$ 5,10 milhões</w:t>
      </w:r>
    </w:p>
    <w:p>
      <w:r>
        <w:t>Dívida financeira / caixa R$ 1,50 milhão / R$ 1,10 milhão</w:t>
      </w:r>
    </w:p>
    <w:p>
      <w:r>
        <w:t>Conciliação patrimonial: R$ 8,20 milhões de ativos = R$ 3,10 milhões de passivos + R$ 5,10 milhões de patrimônio líquido. Os valores são arredondados e formulados para consistência básica.</w:t>
      </w:r>
    </w:p>
    <w:p>
      <w:r>
        <w:br w:type="page"/>
      </w:r>
    </w:p>
    <w:p>
      <w:pPr>
        <w:pStyle w:val="Heading1"/>
      </w:pPr>
      <w:r>
        <w:t>10 | Política financeira e perspectivas</w:t>
      </w:r>
    </w:p>
    <w:p>
      <w:pPr>
        <w:pStyle w:val="Heading2"/>
      </w:pPr>
      <w:r>
        <w:t>Gestão e saúde financeira</w:t>
      </w:r>
    </w:p>
    <w:p>
      <w:r>
        <w:t>A Papeliar apresenta, no cenário simulado, operação lucrativa e patrimônio líquido positivo. A prioridade</w:t>
      </w:r>
    </w:p>
    <w:p>
      <w:r>
        <w:t>financeira é manter liquidez, controlar prazos de recebimento e evitar excesso de estoque, especialmente</w:t>
      </w:r>
    </w:p>
    <w:p>
      <w:r>
        <w:t>após a temporada escolar.</w:t>
      </w:r>
    </w:p>
    <w:p>
      <w:pPr>
        <w:pStyle w:val="Heading2"/>
      </w:pPr>
      <w:r>
        <w:t>Distribuição indicativa de receitas por canal</w:t>
      </w:r>
    </w:p>
    <w:p>
      <w:pPr>
        <w:pStyle w:val="Heading2"/>
      </w:pPr>
      <w:r>
        <w:t>CANAL PARTICIPAÇÃO RECEITA BRUTA</w:t>
      </w:r>
    </w:p>
    <w:p>
      <w:r>
        <w:t>Loja física 42% R$ 5,25 milhões</w:t>
      </w:r>
    </w:p>
    <w:p>
      <w:r>
        <w:t>E-commerce 28% R$ 3,50 milhões</w:t>
      </w:r>
    </w:p>
    <w:p>
      <w:r>
        <w:t>Contratos B2B 30% R$ 3,75 milhões</w:t>
      </w:r>
    </w:p>
    <w:p>
      <w:r>
        <w:t>Total 100% R$ 12,50 milhões</w:t>
      </w:r>
    </w:p>
    <w:p>
      <w:r>
        <w:t>Plano de investimento 2027 (hipótese)</w:t>
      </w:r>
    </w:p>
    <w:p>
      <w:pPr>
        <w:pStyle w:val="Heading2"/>
      </w:pPr>
      <w:r>
        <w:t>INICIATIVA ORÇAMENTO</w:t>
      </w:r>
    </w:p>
    <w:p>
      <w:r>
        <w:t>Modernização do e-commerce e CRM R$ 260 mil</w:t>
      </w:r>
    </w:p>
    <w:p>
      <w:r>
        <w:t>Automação de estoque e expedição R$ 340 mil</w:t>
      </w:r>
    </w:p>
    <w:p>
      <w:r>
        <w:t>Treinamento e desenvolvimento R$ 120 mil</w:t>
      </w:r>
    </w:p>
    <w:p>
      <w:r>
        <w:t>Novas linhas de produtos R$ 180 mil</w:t>
      </w:r>
    </w:p>
    <w:p>
      <w:r>
        <w:t>Total previsto R$ 900 mil</w:t>
      </w:r>
    </w:p>
    <w:p>
      <w:pPr>
        <w:pStyle w:val="Heading2"/>
      </w:pPr>
      <w:r>
        <w:t>Mecanismos de governança</w:t>
      </w:r>
    </w:p>
    <w:p>
      <w:r>
        <w:t>Orçamento revisado trimestralmente, fechamento contábil mensal, política de alçadas, conciliação de</w:t>
      </w:r>
    </w:p>
    <w:p>
      <w:r>
        <w:t>contas, análise da margem por categoria, indicadores de capital de giro e avaliação de risco de crédito.</w:t>
      </w:r>
    </w:p>
    <w:p>
      <w:pPr>
        <w:pStyle w:val="Heading2"/>
      </w:pPr>
      <w:r>
        <w:t>Mensagem final da marca</w:t>
      </w:r>
    </w:p>
    <w:p>
      <w:r>
        <w:t>Na Papeliar, cada caderno pode iniciar uma nova história, cada caneta pode transformar uma ideia e cada</w:t>
      </w:r>
    </w:p>
    <w:p>
      <w:r>
        <w:t>solução de organização pode facilitar uma conquista. Mais que papel, ideias para o seu futuro.</w:t>
      </w:r>
    </w:p>
    <w:p>
      <w:r>
        <w:t>Uso recomendado: conteúdo-base para páginas “Sobre nós”, “Produtos”, “Nossos valores”, “Atendimento corporativo”, “Sustentabilidade” e “Contato” de um website fictício.</w:t>
      </w:r>
    </w:p>
    <w:p>
      <w:pPr>
        <w:sectPr>
          <w:pgSz w:w="12240" w:h="15840"/>
          <w:pgMar w:top="1080" w:right="1123" w:bottom="1008" w:left="1123" w:header="720" w:footer="720" w:gutter="0"/>
          <w:cols w:space="720"/>
          <w:docGrid w:linePitch="360"/>
        </w:sectPr>
      </w:pPr>
    </w:p>
    <w:p>
      <w:pPr>
        <w:pStyle w:val="Heading1"/>
      </w:pPr>
      <w:r>
        <w:t>Painel visual da Papeliar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92640" cy="64617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clean_infographic_brochure_layout_in_a_fla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646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Imagem institucional ilustrativa da empresa fictícia.</w:t>
      </w:r>
    </w:p>
    <w:sectPr w:rsidR="00FC693F" w:rsidRPr="0006063C" w:rsidSect="00034616">
      <w:pgSz w:w="16834" w:h="11909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E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2E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82E6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