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490" w:rsidRPr="00464E85" w:rsidRDefault="00464E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3E8">
        <w:rPr>
          <w:rFonts w:ascii="Times New Roman" w:hAnsi="Times New Roman" w:cs="Times New Roman"/>
          <w:b/>
          <w:sz w:val="24"/>
          <w:szCs w:val="24"/>
          <w:lang w:val="en-US"/>
        </w:rPr>
        <w:t>Supplementary Table 7.</w:t>
      </w:r>
      <w:r w:rsidRPr="00464E85">
        <w:rPr>
          <w:rFonts w:ascii="Times New Roman" w:hAnsi="Times New Roman" w:cs="Times New Roman"/>
          <w:sz w:val="24"/>
          <w:szCs w:val="24"/>
          <w:lang w:val="en-US"/>
        </w:rPr>
        <w:t xml:space="preserve"> The features used in UNI model. </w:t>
      </w:r>
    </w:p>
    <w:tbl>
      <w:tblPr>
        <w:tblStyle w:val="TabeladeGradeClara"/>
        <w:tblW w:w="10915" w:type="dxa"/>
        <w:tblInd w:w="-1139" w:type="dxa"/>
        <w:tblLook w:val="04A0" w:firstRow="1" w:lastRow="0" w:firstColumn="1" w:lastColumn="0" w:noHBand="0" w:noVBand="1"/>
      </w:tblPr>
      <w:tblGrid>
        <w:gridCol w:w="2352"/>
        <w:gridCol w:w="8563"/>
      </w:tblGrid>
      <w:tr w:rsidR="00464E85" w:rsidRPr="00464E85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bookmarkStart w:id="0" w:name="_GoBack"/>
            <w:bookmarkEnd w:id="0"/>
            <w:proofErr w:type="spellStart"/>
            <w:r w:rsidRPr="00464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Description</w:t>
            </w:r>
            <w:proofErr w:type="spellEnd"/>
          </w:p>
        </w:tc>
      </w:tr>
      <w:tr w:rsidR="00464E85" w:rsidRPr="00464E85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Pipeline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architecture</w:t>
            </w:r>
            <w:proofErr w:type="spellEnd"/>
          </w:p>
        </w:tc>
        <w:tc>
          <w:tcPr>
            <w:tcW w:w="8563" w:type="dxa"/>
            <w:hideMark/>
          </w:tcPr>
          <w:p w:rsidR="000E2E26" w:rsidRDefault="00464E85" w:rsidP="000E2E2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End-to-end WSI classification pipeline integrating frozen feature extraction, </w:t>
            </w:r>
          </w:p>
          <w:p w:rsidR="00464E85" w:rsidRPr="00464E85" w:rsidRDefault="00464E85" w:rsidP="005513E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a</w:t>
            </w:r>
            <w:r w:rsidR="005513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ttention-based MIL aggregation.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Input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Whole-slide images in </w:t>
            </w:r>
            <w:r w:rsidRPr="00464E85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.</w:t>
            </w:r>
            <w:proofErr w:type="spellStart"/>
            <w:r w:rsidRPr="00464E85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svs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format processed via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OpenSlide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with recursive directory traversal.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Classification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task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Supervised four-class classification: aggressive B-cell lymphoma, indolent/small B-cell lymphoma, NK/T-cell lymphoma, and reactive lymphoid lesions.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Patch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extraction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Random sampling of 40 patches per slide at level 0 with spatially uniform distribution.</w:t>
            </w:r>
          </w:p>
        </w:tc>
      </w:tr>
      <w:tr w:rsidR="00464E85" w:rsidRPr="00464E85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Patch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resolution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224 × 224 RGB patches.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backbone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UNI foundation model (Vision Transformer </w:t>
            </w:r>
            <w:r w:rsidRPr="00464E85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vit_large_patch16_224</w:t>
            </w: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) used as a frozen encoder (no weight updates).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representation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High-dimensional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embeddings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extracted per patch and cached for efficient reuse.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Patch-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classifier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Fully connected network: Linear(d→256) →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ReLU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→ Dropout(0.3) → Linear(256→4).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MIL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aggregation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Attention-based multiple instance learning aggregates patch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embeddings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into slide-level representations.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Attention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mechanism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Linear(d→128) →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Tanh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→ Linear(128→1) →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Softmax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weighting of patches.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Slide-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classifier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Linear(d→128) →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ReLU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→ Dropout(0.2) → Linear(128→4).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Loss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function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Class-weighted cross-entropy to address imbalance.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Optimization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Adam optimizer with learning rate 1×10⁻⁴.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Training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strategy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Up to 200 epochs with best model selection based on validation accuracy.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Evaluation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levels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Patch-level, slide-level (MIL), and patient-level aggregation.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Metrics</w:t>
            </w:r>
          </w:p>
        </w:tc>
        <w:tc>
          <w:tcPr>
            <w:tcW w:w="8563" w:type="dxa"/>
            <w:hideMark/>
          </w:tcPr>
          <w:p w:rsidR="00464E85" w:rsidRPr="00464E85" w:rsidRDefault="005513E8" w:rsidP="005513E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Accuracy, precision (weighted), recall (weighted), F1-score (weighted), balanced accuracy, Cohen’s kappa, Confusion matrix, sensitivity, specificity, </w:t>
            </w:r>
            <w:r w:rsidRPr="005513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ROC AUC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confusion matrix. 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Uncertainty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estimation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Bootstrap-based 95% confidence intervals for AUC and diagnostic metrics.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Interpretability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Attention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heatmaps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highlighting diagnostically relevant regions within WSIs.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Output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artifacts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Model weights, cached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embeddings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performance reports, ROC curves, confusion matrices, and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heatmaps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Clinical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decision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layer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Model outputs are interpreted as probabilistic priors that guide downstream diagnostic decision-making rather than final diagnoses.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Decision stage 1 (high-confidence triage)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High-probability predictions trigger targeted first-line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immunohistochemical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panels to minimize unnecessary testing and accelerate diagnosis.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5513E8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Aggressive B-cell -</w:t>
            </w:r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first-line panel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CD20, CD79a, PAX5, CD3, Ki-67 for lineage confirmation and proliferation assessment.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5513E8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Indolent/small B-cell -</w:t>
            </w:r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first-line panel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CD20, CD3, CD5, CD10, BCL6, BCL2, Cyclin D1 for subtype differentiation (e.g., follicular, mantle cell, CLL/SLL).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5513E8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NK/T-cell -</w:t>
            </w:r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first-line panel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CD2, CD3</w:t>
            </w: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ε</w:t>
            </w: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, CD56, EBER for lineage confirmation and EBV association.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5513E8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Reactive lesion -</w:t>
            </w:r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first-line panel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CD20, CD3, CD21, CD23, Ki-67 to confirm benign architecture and exclude clonal proliferation.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Decision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stage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 (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reflex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testing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Intermediate confidence or discordant cases trigger expanded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immunohistochemical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panels for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subclassification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refinement.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lastRenderedPageBreak/>
              <w:t xml:space="preserve">Aggressive B-cell </w:t>
            </w:r>
            <w:r w:rsidR="005513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-</w:t>
            </w: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reflex panel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CD10, BCL6, BCL2, MYC, MUM1, CD30, Cyclin D1, SOX11,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TdT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, CD138, ALK, HHV8 for germinal center status, double-hit biology, and rare entities.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5513E8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Indolent B-cell -</w:t>
            </w:r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reflex panel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SOX11, CD21, CD23, MUM1, p53, Ki-67 for resolving overlapping entities and proliferation indices.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5513E8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NK/T-cell -</w:t>
            </w:r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reflex panel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Granzyme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B, TIA-1, Perforin, CD30 for cytotoxic phenotype confirmation.</w:t>
            </w:r>
          </w:p>
        </w:tc>
      </w:tr>
      <w:tr w:rsidR="00464E85" w:rsidRPr="00A13DCB" w:rsidTr="000E2E26">
        <w:tc>
          <w:tcPr>
            <w:tcW w:w="0" w:type="auto"/>
            <w:hideMark/>
          </w:tcPr>
          <w:p w:rsidR="00464E85" w:rsidRPr="00464E85" w:rsidRDefault="005513E8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Reactive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-</w:t>
            </w:r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reflex</w:t>
            </w:r>
            <w:proofErr w:type="spellEnd"/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464E85"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panel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CD35, CD68, CD138, Kappa/Lambda light chains to exclude subtle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clonality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and characterize microenvironment.</w:t>
            </w:r>
          </w:p>
        </w:tc>
      </w:tr>
      <w:tr w:rsidR="00464E85" w:rsidRPr="00464E85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Decision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stage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3 (molecular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escalation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Persistently ambiguous cases are escalated to molecular diagnostics guided by model uncertainty and biological plausibility.</w:t>
            </w:r>
          </w:p>
        </w:tc>
      </w:tr>
      <w:tr w:rsidR="00464E85" w:rsidRPr="00464E85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Molecular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tests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FISH for MYC, BCL2, BCL6 rearrangements; PCR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clonality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assays (IGH/TCR); EBV detection via EBER in situ hybridization.</w:t>
            </w:r>
          </w:p>
        </w:tc>
      </w:tr>
      <w:tr w:rsidR="00464E85" w:rsidRPr="00464E85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Decision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logic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Model probabilities define transitions between diagnostic stages, functioning as a structured decision graph.</w:t>
            </w:r>
          </w:p>
        </w:tc>
      </w:tr>
      <w:tr w:rsidR="00464E85" w:rsidRPr="00464E85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Clinical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Reduces unnecessary broad panels, shortens diagnostic turnaround time, and improves consistency and reproducibility in lymphoma diagnosis.</w:t>
            </w:r>
          </w:p>
        </w:tc>
      </w:tr>
      <w:tr w:rsidR="00464E85" w:rsidRPr="00464E85" w:rsidTr="000E2E26">
        <w:tc>
          <w:tcPr>
            <w:tcW w:w="0" w:type="auto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Role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the</w:t>
            </w:r>
            <w:proofErr w:type="spellEnd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</w:t>
            </w:r>
            <w:proofErr w:type="spellEnd"/>
          </w:p>
        </w:tc>
        <w:tc>
          <w:tcPr>
            <w:tcW w:w="8563" w:type="dxa"/>
            <w:hideMark/>
          </w:tcPr>
          <w:p w:rsidR="00464E85" w:rsidRPr="00464E85" w:rsidRDefault="00464E85" w:rsidP="00464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464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Acts as an intelligent decision-support system augmenting pathologist interpretation rather than replacing it.</w:t>
            </w:r>
          </w:p>
        </w:tc>
      </w:tr>
    </w:tbl>
    <w:p w:rsidR="00464E85" w:rsidRPr="00464E85" w:rsidRDefault="00464E85">
      <w:pPr>
        <w:rPr>
          <w:lang w:val="en-US"/>
        </w:rPr>
      </w:pPr>
    </w:p>
    <w:sectPr w:rsidR="00464E85" w:rsidRPr="00464E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E85"/>
    <w:rsid w:val="00097CC2"/>
    <w:rsid w:val="000E2E26"/>
    <w:rsid w:val="00317254"/>
    <w:rsid w:val="00464E85"/>
    <w:rsid w:val="005513E8"/>
    <w:rsid w:val="00740DEE"/>
    <w:rsid w:val="00A1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B93CEE-C625-4DCE-9621-71E3BFC8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464E85"/>
    <w:rPr>
      <w:rFonts w:ascii="Courier New" w:eastAsia="Times New Roman" w:hAnsi="Courier New" w:cs="Courier New"/>
      <w:sz w:val="20"/>
      <w:szCs w:val="20"/>
    </w:rPr>
  </w:style>
  <w:style w:type="table" w:styleId="TabeladeGradeClara">
    <w:name w:val="Grid Table Light"/>
    <w:basedOn w:val="Tabelanormal"/>
    <w:uiPriority w:val="40"/>
    <w:rsid w:val="00464E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3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675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3</cp:revision>
  <dcterms:created xsi:type="dcterms:W3CDTF">2026-04-30T21:48:00Z</dcterms:created>
  <dcterms:modified xsi:type="dcterms:W3CDTF">2026-04-30T23:17:00Z</dcterms:modified>
</cp:coreProperties>
</file>