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DDBB" w14:textId="5AEDE5B2" w:rsidR="0073654C" w:rsidRPr="0073654C" w:rsidRDefault="0073654C" w:rsidP="0073654C">
      <w:pPr>
        <w:jc w:val="both"/>
        <w:rPr>
          <w:rFonts w:ascii="Times New Roman" w:hAnsi="Times New Roman" w:cs="Times New Roman"/>
          <w:lang w:val="en-GB"/>
        </w:rPr>
      </w:pPr>
      <w:r w:rsidRPr="0073654C">
        <w:rPr>
          <w:rFonts w:ascii="Times New Roman" w:hAnsi="Times New Roman" w:cs="Times New Roman"/>
          <w:b/>
          <w:bCs/>
          <w:lang w:val="en-GB"/>
        </w:rPr>
        <w:t>Supplementary Table 6.</w:t>
      </w:r>
      <w:r w:rsidRPr="0073654C">
        <w:rPr>
          <w:rFonts w:ascii="Times New Roman" w:hAnsi="Times New Roman" w:cs="Times New Roman"/>
          <w:lang w:val="en-GB"/>
        </w:rPr>
        <w:t xml:space="preserve"> Distribution of cases across the training, validation, test, and external validation cohorts according to biological tumour group. The dataset comprised 675 cases categorised as haematolymphoid (n = 463), neuroectodermal and neural crest-derived (n = 84), mesenchymal (n = 75), and melanocytic (n = 53) neoplasms. Cases were allocated to the training (70%), validation (10%), test (10%), and external validation (10%) cohorts whilst maintaining class balance. </w:t>
      </w:r>
    </w:p>
    <w:tbl>
      <w:tblPr>
        <w:tblStyle w:val="TabeladeGradeClara"/>
        <w:tblW w:w="10490" w:type="dxa"/>
        <w:jc w:val="center"/>
        <w:tblLook w:val="04A0" w:firstRow="1" w:lastRow="0" w:firstColumn="1" w:lastColumn="0" w:noHBand="0" w:noVBand="1"/>
      </w:tblPr>
      <w:tblGrid>
        <w:gridCol w:w="1253"/>
        <w:gridCol w:w="2008"/>
        <w:gridCol w:w="1861"/>
        <w:gridCol w:w="1503"/>
        <w:gridCol w:w="1360"/>
        <w:gridCol w:w="705"/>
        <w:gridCol w:w="1800"/>
      </w:tblGrid>
      <w:tr w:rsidR="0073654C" w:rsidRPr="0073654C" w14:paraId="650326E4" w14:textId="77777777" w:rsidTr="0073654C">
        <w:trPr>
          <w:jc w:val="center"/>
        </w:trPr>
        <w:tc>
          <w:tcPr>
            <w:tcW w:w="1253" w:type="dxa"/>
            <w:hideMark/>
          </w:tcPr>
          <w:p w14:paraId="6F40138F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Subset</w:t>
            </w:r>
            <w:proofErr w:type="spellEnd"/>
          </w:p>
        </w:tc>
        <w:tc>
          <w:tcPr>
            <w:tcW w:w="2008" w:type="dxa"/>
            <w:hideMark/>
          </w:tcPr>
          <w:p w14:paraId="083B432C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Haematolymphoid</w:t>
            </w:r>
            <w:proofErr w:type="spellEnd"/>
          </w:p>
        </w:tc>
        <w:tc>
          <w:tcPr>
            <w:tcW w:w="1861" w:type="dxa"/>
            <w:hideMark/>
          </w:tcPr>
          <w:p w14:paraId="648CA9F3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Neuroectodermal</w:t>
            </w:r>
            <w:proofErr w:type="spellEnd"/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Neural </w:t>
            </w:r>
            <w:proofErr w:type="spellStart"/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Crest-Derived</w:t>
            </w:r>
            <w:proofErr w:type="spellEnd"/>
          </w:p>
        </w:tc>
        <w:tc>
          <w:tcPr>
            <w:tcW w:w="0" w:type="auto"/>
            <w:hideMark/>
          </w:tcPr>
          <w:p w14:paraId="0360CD9C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Mesenchymal</w:t>
            </w:r>
            <w:proofErr w:type="spellEnd"/>
          </w:p>
        </w:tc>
        <w:tc>
          <w:tcPr>
            <w:tcW w:w="0" w:type="auto"/>
            <w:hideMark/>
          </w:tcPr>
          <w:p w14:paraId="33BC9697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Melanocytic</w:t>
            </w:r>
            <w:proofErr w:type="spellEnd"/>
          </w:p>
        </w:tc>
        <w:tc>
          <w:tcPr>
            <w:tcW w:w="0" w:type="auto"/>
            <w:hideMark/>
          </w:tcPr>
          <w:p w14:paraId="64E9EC2E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hideMark/>
          </w:tcPr>
          <w:p w14:paraId="7D168BEE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Centres</w:t>
            </w:r>
          </w:p>
        </w:tc>
      </w:tr>
      <w:tr w:rsidR="0073654C" w:rsidRPr="0073654C" w14:paraId="4CE8B350" w14:textId="77777777" w:rsidTr="0073654C">
        <w:trPr>
          <w:jc w:val="center"/>
        </w:trPr>
        <w:tc>
          <w:tcPr>
            <w:tcW w:w="1253" w:type="dxa"/>
            <w:hideMark/>
          </w:tcPr>
          <w:p w14:paraId="44F7D55D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Training (70%)</w:t>
            </w:r>
          </w:p>
        </w:tc>
        <w:tc>
          <w:tcPr>
            <w:tcW w:w="2008" w:type="dxa"/>
            <w:hideMark/>
          </w:tcPr>
          <w:p w14:paraId="72C13722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324</w:t>
            </w:r>
          </w:p>
        </w:tc>
        <w:tc>
          <w:tcPr>
            <w:tcW w:w="1861" w:type="dxa"/>
            <w:hideMark/>
          </w:tcPr>
          <w:p w14:paraId="796D1832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0" w:type="auto"/>
            <w:hideMark/>
          </w:tcPr>
          <w:p w14:paraId="69463850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0" w:type="auto"/>
            <w:hideMark/>
          </w:tcPr>
          <w:p w14:paraId="45EB4288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6D6443B4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472</w:t>
            </w:r>
          </w:p>
        </w:tc>
        <w:tc>
          <w:tcPr>
            <w:tcW w:w="1800" w:type="dxa"/>
            <w:hideMark/>
          </w:tcPr>
          <w:p w14:paraId="3A864A99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HUJBB/UFPA, UFMG, FOP/UNICAMP, UERJ</w:t>
            </w:r>
          </w:p>
        </w:tc>
      </w:tr>
      <w:tr w:rsidR="0073654C" w:rsidRPr="0073654C" w14:paraId="527A54FC" w14:textId="77777777" w:rsidTr="0073654C">
        <w:trPr>
          <w:jc w:val="center"/>
        </w:trPr>
        <w:tc>
          <w:tcPr>
            <w:tcW w:w="1253" w:type="dxa"/>
            <w:hideMark/>
          </w:tcPr>
          <w:p w14:paraId="1633D4D7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  <w:proofErr w:type="spellEnd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 xml:space="preserve"> (10%)</w:t>
            </w:r>
          </w:p>
        </w:tc>
        <w:tc>
          <w:tcPr>
            <w:tcW w:w="2008" w:type="dxa"/>
            <w:hideMark/>
          </w:tcPr>
          <w:p w14:paraId="5D78E83D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861" w:type="dxa"/>
            <w:hideMark/>
          </w:tcPr>
          <w:p w14:paraId="0272457B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4E02093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54E9DA4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4027F42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800" w:type="dxa"/>
            <w:hideMark/>
          </w:tcPr>
          <w:p w14:paraId="2ED8E949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FOP/UNICAMP</w:t>
            </w:r>
          </w:p>
        </w:tc>
      </w:tr>
      <w:tr w:rsidR="0073654C" w:rsidRPr="0073654C" w14:paraId="76407472" w14:textId="77777777" w:rsidTr="0073654C">
        <w:trPr>
          <w:jc w:val="center"/>
        </w:trPr>
        <w:tc>
          <w:tcPr>
            <w:tcW w:w="1253" w:type="dxa"/>
            <w:hideMark/>
          </w:tcPr>
          <w:p w14:paraId="3A1B1B9E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Test (10%)</w:t>
            </w:r>
          </w:p>
        </w:tc>
        <w:tc>
          <w:tcPr>
            <w:tcW w:w="2008" w:type="dxa"/>
            <w:hideMark/>
          </w:tcPr>
          <w:p w14:paraId="3CFF4E98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861" w:type="dxa"/>
            <w:hideMark/>
          </w:tcPr>
          <w:p w14:paraId="29770106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56F1AEB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2689E1D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28671DD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800" w:type="dxa"/>
            <w:hideMark/>
          </w:tcPr>
          <w:p w14:paraId="1ACAEF06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UAM, GSD, HSR/HC</w:t>
            </w:r>
          </w:p>
        </w:tc>
      </w:tr>
      <w:tr w:rsidR="0073654C" w:rsidRPr="0073654C" w14:paraId="228BB584" w14:textId="77777777" w:rsidTr="0073654C">
        <w:trPr>
          <w:jc w:val="center"/>
        </w:trPr>
        <w:tc>
          <w:tcPr>
            <w:tcW w:w="1253" w:type="dxa"/>
            <w:hideMark/>
          </w:tcPr>
          <w:p w14:paraId="21C02D41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External</w:t>
            </w:r>
            <w:proofErr w:type="spellEnd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  <w:proofErr w:type="spellEnd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 xml:space="preserve"> (10%)</w:t>
            </w:r>
          </w:p>
        </w:tc>
        <w:tc>
          <w:tcPr>
            <w:tcW w:w="2008" w:type="dxa"/>
            <w:hideMark/>
          </w:tcPr>
          <w:p w14:paraId="6494E98F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861" w:type="dxa"/>
            <w:hideMark/>
          </w:tcPr>
          <w:p w14:paraId="3FD0EFB6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D88EE03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91FBB37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15DE373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800" w:type="dxa"/>
            <w:hideMark/>
          </w:tcPr>
          <w:p w14:paraId="39EBB501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 xml:space="preserve">ICC, </w:t>
            </w:r>
            <w:proofErr w:type="spellStart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University</w:t>
            </w:r>
            <w:proofErr w:type="spellEnd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73654C">
              <w:rPr>
                <w:rFonts w:ascii="Times New Roman" w:hAnsi="Times New Roman" w:cs="Times New Roman"/>
                <w:sz w:val="20"/>
                <w:szCs w:val="20"/>
              </w:rPr>
              <w:t xml:space="preserve"> Sheffield</w:t>
            </w:r>
          </w:p>
        </w:tc>
      </w:tr>
      <w:tr w:rsidR="0073654C" w:rsidRPr="0073654C" w14:paraId="316B1DAB" w14:textId="77777777" w:rsidTr="0073654C">
        <w:trPr>
          <w:jc w:val="center"/>
        </w:trPr>
        <w:tc>
          <w:tcPr>
            <w:tcW w:w="1253" w:type="dxa"/>
            <w:hideMark/>
          </w:tcPr>
          <w:p w14:paraId="64BF4DBC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8" w:type="dxa"/>
            <w:hideMark/>
          </w:tcPr>
          <w:p w14:paraId="1A161BC3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463</w:t>
            </w:r>
          </w:p>
        </w:tc>
        <w:tc>
          <w:tcPr>
            <w:tcW w:w="1861" w:type="dxa"/>
            <w:hideMark/>
          </w:tcPr>
          <w:p w14:paraId="5D33C1FC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84</w:t>
            </w:r>
          </w:p>
        </w:tc>
        <w:tc>
          <w:tcPr>
            <w:tcW w:w="0" w:type="auto"/>
            <w:hideMark/>
          </w:tcPr>
          <w:p w14:paraId="25A5B897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61A73CBD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0" w:type="auto"/>
            <w:hideMark/>
          </w:tcPr>
          <w:p w14:paraId="67D20E3A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675</w:t>
            </w:r>
          </w:p>
        </w:tc>
        <w:tc>
          <w:tcPr>
            <w:tcW w:w="1800" w:type="dxa"/>
            <w:hideMark/>
          </w:tcPr>
          <w:p w14:paraId="0078B2AC" w14:textId="77777777" w:rsidR="0073654C" w:rsidRPr="0073654C" w:rsidRDefault="0073654C" w:rsidP="0073654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654C">
              <w:rPr>
                <w:rFonts w:ascii="Times New Roman" w:hAnsi="Times New Roman" w:cs="Times New Roman"/>
                <w:sz w:val="20"/>
                <w:szCs w:val="20"/>
              </w:rPr>
              <w:t>10 centres</w:t>
            </w:r>
          </w:p>
        </w:tc>
      </w:tr>
    </w:tbl>
    <w:p w14:paraId="4D509EE4" w14:textId="77777777" w:rsidR="0073654C" w:rsidRPr="0073654C" w:rsidRDefault="0073654C">
      <w:pPr>
        <w:rPr>
          <w:rFonts w:ascii="Times New Roman" w:hAnsi="Times New Roman" w:cs="Times New Roman"/>
        </w:rPr>
      </w:pPr>
    </w:p>
    <w:sectPr w:rsidR="0073654C" w:rsidRPr="00736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4C"/>
    <w:rsid w:val="00316BEB"/>
    <w:rsid w:val="0073654C"/>
    <w:rsid w:val="00885309"/>
    <w:rsid w:val="009E12F5"/>
    <w:rsid w:val="00ED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3847"/>
  <w15:chartTrackingRefBased/>
  <w15:docId w15:val="{A7B5FB55-8A83-4D41-99BC-28DD5B57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5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5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5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5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5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5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54C"/>
    <w:rPr>
      <w:b/>
      <w:bCs/>
      <w:smallCaps/>
      <w:color w:val="0F4761" w:themeColor="accent1" w:themeShade="BF"/>
      <w:spacing w:val="5"/>
    </w:rPr>
  </w:style>
  <w:style w:type="table" w:styleId="TabeladeGradeClara">
    <w:name w:val="Grid Table Light"/>
    <w:basedOn w:val="Tabelanormal"/>
    <w:uiPriority w:val="40"/>
    <w:rsid w:val="007365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700</Characters>
  <Application>Microsoft Office Word</Application>
  <DocSecurity>0</DocSecurity>
  <Lines>140</Lines>
  <Paragraphs>120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Lacerda</dc:creator>
  <cp:keywords/>
  <dc:description/>
  <cp:lastModifiedBy>Lucas Lacerda</cp:lastModifiedBy>
  <cp:revision>2</cp:revision>
  <dcterms:created xsi:type="dcterms:W3CDTF">2026-06-17T00:34:00Z</dcterms:created>
  <dcterms:modified xsi:type="dcterms:W3CDTF">2026-06-17T00:34:00Z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a041291c-75d3-4d09-b977-e2794dd839b5</vt:lpwstr>
  </property>
</Properties>
</file>